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Pr="00D67BF3" w:rsidRDefault="00D67BF3" w:rsidP="00D86244">
      <w:pPr>
        <w:jc w:val="both"/>
        <w:rPr>
          <w:b/>
        </w:rPr>
      </w:pPr>
      <w:r w:rsidRPr="00D67BF3">
        <w:rPr>
          <w:b/>
        </w:rPr>
        <w:t>Abstract</w:t>
      </w:r>
    </w:p>
    <w:p w:rsidR="008F0A6D" w:rsidRDefault="00726F92" w:rsidP="00726F92">
      <w:pPr>
        <w:jc w:val="both"/>
      </w:pPr>
      <w:r>
        <w:rPr>
          <w:rFonts w:ascii="Georgia" w:hAnsi="Georgia"/>
          <w:color w:val="2E2E2E"/>
          <w:sz w:val="27"/>
          <w:szCs w:val="27"/>
        </w:rPr>
        <w:t>This study examined the optimization of the </w:t>
      </w:r>
      <w:proofErr w:type="spellStart"/>
      <w:r>
        <w:rPr>
          <w:rFonts w:ascii="Georgia" w:hAnsi="Georgia"/>
          <w:color w:val="2E2E2E"/>
          <w:sz w:val="27"/>
          <w:szCs w:val="27"/>
        </w:rPr>
        <w:fldChar w:fldCharType="begin"/>
      </w:r>
      <w:r>
        <w:rPr>
          <w:rFonts w:ascii="Georgia" w:hAnsi="Georgia"/>
          <w:color w:val="2E2E2E"/>
          <w:sz w:val="27"/>
          <w:szCs w:val="27"/>
        </w:rPr>
        <w:instrText xml:space="preserve"> HYPERLINK "https://www.sciencedirect.com/topics/engineering/transesterification" \o "Learn more about transesterification from ScienceDirect's AI-generated Topic Pages" </w:instrText>
      </w:r>
      <w:r>
        <w:rPr>
          <w:rFonts w:ascii="Georgia" w:hAnsi="Georgia"/>
          <w:color w:val="2E2E2E"/>
          <w:sz w:val="27"/>
          <w:szCs w:val="27"/>
        </w:rPr>
        <w:fldChar w:fldCharType="separate"/>
      </w:r>
      <w:r>
        <w:rPr>
          <w:rStyle w:val="Hyperlink"/>
          <w:rFonts w:ascii="Georgia" w:hAnsi="Georgia"/>
          <w:color w:val="2E2E2E"/>
          <w:sz w:val="27"/>
          <w:szCs w:val="27"/>
        </w:rPr>
        <w:t>transesterification</w:t>
      </w:r>
      <w:proofErr w:type="spellEnd"/>
      <w:r>
        <w:rPr>
          <w:rFonts w:ascii="Georgia" w:hAnsi="Georgia"/>
          <w:color w:val="2E2E2E"/>
          <w:sz w:val="27"/>
          <w:szCs w:val="27"/>
        </w:rPr>
        <w:fldChar w:fldCharType="end"/>
      </w:r>
      <w:r>
        <w:rPr>
          <w:rFonts w:ascii="Georgia" w:hAnsi="Georgia"/>
          <w:color w:val="2E2E2E"/>
          <w:sz w:val="27"/>
          <w:szCs w:val="27"/>
        </w:rPr>
        <w:t xml:space="preserve"> reaction of sesame methyl esters (SMEs) with </w:t>
      </w:r>
      <w:proofErr w:type="spellStart"/>
      <w:r>
        <w:rPr>
          <w:rFonts w:ascii="Georgia" w:hAnsi="Georgia"/>
          <w:color w:val="2E2E2E"/>
          <w:sz w:val="27"/>
          <w:szCs w:val="27"/>
        </w:rPr>
        <w:t>trimethylolpropane</w:t>
      </w:r>
      <w:proofErr w:type="spellEnd"/>
      <w:r>
        <w:rPr>
          <w:rFonts w:ascii="Georgia" w:hAnsi="Georgia"/>
          <w:color w:val="2E2E2E"/>
          <w:sz w:val="27"/>
          <w:szCs w:val="27"/>
        </w:rPr>
        <w:t xml:space="preserve"> (TMP) to </w:t>
      </w:r>
      <w:proofErr w:type="spellStart"/>
      <w:r>
        <w:rPr>
          <w:rFonts w:ascii="Georgia" w:hAnsi="Georgia"/>
          <w:color w:val="2E2E2E"/>
          <w:sz w:val="27"/>
          <w:szCs w:val="27"/>
        </w:rPr>
        <w:t>synthesise</w:t>
      </w:r>
      <w:proofErr w:type="spellEnd"/>
      <w:r>
        <w:rPr>
          <w:rFonts w:ascii="Georgia" w:hAnsi="Georgia"/>
          <w:color w:val="2E2E2E"/>
          <w:sz w:val="27"/>
          <w:szCs w:val="27"/>
        </w:rPr>
        <w:t xml:space="preserve"> sesame </w:t>
      </w:r>
      <w:proofErr w:type="spellStart"/>
      <w:r>
        <w:rPr>
          <w:rFonts w:ascii="Georgia" w:hAnsi="Georgia"/>
          <w:color w:val="2E2E2E"/>
          <w:sz w:val="27"/>
          <w:szCs w:val="27"/>
        </w:rPr>
        <w:t>biolubricant</w:t>
      </w:r>
      <w:proofErr w:type="spellEnd"/>
      <w:r>
        <w:rPr>
          <w:rFonts w:ascii="Georgia" w:hAnsi="Georgia"/>
          <w:color w:val="2E2E2E"/>
          <w:sz w:val="27"/>
          <w:szCs w:val="27"/>
        </w:rPr>
        <w:t xml:space="preserve"> (SBL). </w:t>
      </w:r>
      <w:hyperlink r:id="rId4" w:tooltip="Learn more about Response surface methodology from ScienceDirect's AI-generated Topic Pages" w:history="1">
        <w:r>
          <w:rPr>
            <w:rStyle w:val="Hyperlink"/>
            <w:rFonts w:ascii="Georgia" w:hAnsi="Georgia"/>
            <w:color w:val="2E2E2E"/>
            <w:sz w:val="27"/>
            <w:szCs w:val="27"/>
          </w:rPr>
          <w:t>Response surface methodology</w:t>
        </w:r>
      </w:hyperlink>
      <w:r>
        <w:rPr>
          <w:rFonts w:ascii="Georgia" w:hAnsi="Georgia"/>
          <w:color w:val="2E2E2E"/>
          <w:sz w:val="27"/>
          <w:szCs w:val="27"/>
        </w:rPr>
        <w:t> (RSM) using </w:t>
      </w:r>
      <w:hyperlink r:id="rId5" w:tooltip="Learn more about central composite design from ScienceDirect's AI-generated Topic Pages" w:history="1">
        <w:r>
          <w:rPr>
            <w:rStyle w:val="Hyperlink"/>
            <w:rFonts w:ascii="Georgia" w:hAnsi="Georgia"/>
            <w:color w:val="2E2E2E"/>
            <w:sz w:val="27"/>
            <w:szCs w:val="27"/>
          </w:rPr>
          <w:t>central composite design</w:t>
        </w:r>
      </w:hyperlink>
      <w:r>
        <w:rPr>
          <w:rFonts w:ascii="Georgia" w:hAnsi="Georgia"/>
          <w:color w:val="2E2E2E"/>
          <w:sz w:val="27"/>
          <w:szCs w:val="27"/>
        </w:rPr>
        <w:t> (CCD) was employed for the </w:t>
      </w:r>
      <w:hyperlink r:id="rId6" w:tooltip="Learn more about experimental design from ScienceDirect's AI-generated Topic Pages" w:history="1">
        <w:r>
          <w:rPr>
            <w:rStyle w:val="Hyperlink"/>
            <w:rFonts w:ascii="Georgia" w:hAnsi="Georgia"/>
            <w:color w:val="2E2E2E"/>
            <w:sz w:val="27"/>
            <w:szCs w:val="27"/>
          </w:rPr>
          <w:t>experimental design</w:t>
        </w:r>
      </w:hyperlink>
      <w:r>
        <w:rPr>
          <w:rFonts w:ascii="Georgia" w:hAnsi="Georgia"/>
          <w:color w:val="2E2E2E"/>
          <w:sz w:val="27"/>
          <w:szCs w:val="27"/>
        </w:rPr>
        <w:t xml:space="preserve">. Effects of temperature, mole ratio and reaction time on the yield of SBL were evaluated. The predicted yield after process optimization was found to agree satisfactorily with the experimental value. The optimum conditions were obtained at temperature of 150 °C, mole ratio of 6:1 and time of 197.26 min for 80.02% </w:t>
      </w:r>
      <w:proofErr w:type="spellStart"/>
      <w:r>
        <w:rPr>
          <w:rFonts w:ascii="Georgia" w:hAnsi="Georgia"/>
          <w:color w:val="2E2E2E"/>
          <w:sz w:val="27"/>
          <w:szCs w:val="27"/>
        </w:rPr>
        <w:t>biolubricant</w:t>
      </w:r>
      <w:proofErr w:type="spellEnd"/>
      <w:r>
        <w:rPr>
          <w:rFonts w:ascii="Georgia" w:hAnsi="Georgia"/>
          <w:color w:val="2E2E2E"/>
          <w:sz w:val="27"/>
          <w:szCs w:val="27"/>
        </w:rPr>
        <w:t xml:space="preserve"> yield. Mole ratio and reaction time were found to be the most significant variables. SBL characteristics complied with ISO VG 22 standard and holds high potential as base stock for </w:t>
      </w:r>
      <w:proofErr w:type="spellStart"/>
      <w:r>
        <w:rPr>
          <w:rFonts w:ascii="Georgia" w:hAnsi="Georgia"/>
          <w:color w:val="2E2E2E"/>
          <w:sz w:val="27"/>
          <w:szCs w:val="27"/>
        </w:rPr>
        <w:t>biolubricant</w:t>
      </w:r>
      <w:proofErr w:type="spellEnd"/>
      <w:r>
        <w:rPr>
          <w:rFonts w:ascii="Georgia" w:hAnsi="Georgia"/>
          <w:color w:val="2E2E2E"/>
          <w:sz w:val="27"/>
          <w:szCs w:val="27"/>
        </w:rPr>
        <w:t xml:space="preserve"> formulation.</w:t>
      </w:r>
      <w:bookmarkStart w:id="0" w:name="_GoBack"/>
      <w:bookmarkEnd w:id="0"/>
    </w:p>
    <w:sectPr w:rsidR="008F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726F92"/>
    <w:rsid w:val="008F0A6D"/>
    <w:rsid w:val="00D67BF3"/>
    <w:rsid w:val="00D8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design-of-experiments" TargetMode="External"/><Relationship Id="rId5" Type="http://schemas.openxmlformats.org/officeDocument/2006/relationships/hyperlink" Target="https://www.sciencedirect.com/topics/engineering/central-composite-design" TargetMode="External"/><Relationship Id="rId4" Type="http://schemas.openxmlformats.org/officeDocument/2006/relationships/hyperlink" Target="https://www.sciencedirect.com/topics/engineering/response-surface-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3</cp:revision>
  <dcterms:created xsi:type="dcterms:W3CDTF">2022-12-09T12:54:00Z</dcterms:created>
  <dcterms:modified xsi:type="dcterms:W3CDTF">2022-12-09T13:15:00Z</dcterms:modified>
</cp:coreProperties>
</file>