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5A" w:rsidRPr="006D785D" w:rsidRDefault="001B1585" w:rsidP="006D785D">
      <w:pPr>
        <w:jc w:val="center"/>
        <w:rPr>
          <w:rFonts w:ascii="Times New Roman" w:hAnsi="Times New Roman" w:cs="Times New Roman"/>
          <w:b/>
          <w:color w:val="333333"/>
          <w:sz w:val="28"/>
          <w:szCs w:val="28"/>
          <w:shd w:val="clear" w:color="auto" w:fill="FFFFFF"/>
        </w:rPr>
      </w:pPr>
      <w:bookmarkStart w:id="0" w:name="_GoBack"/>
      <w:r w:rsidRPr="006D785D">
        <w:rPr>
          <w:rFonts w:ascii="Times New Roman" w:hAnsi="Times New Roman" w:cs="Times New Roman"/>
          <w:b/>
          <w:color w:val="333333"/>
          <w:sz w:val="28"/>
          <w:szCs w:val="28"/>
          <w:shd w:val="clear" w:color="auto" w:fill="FFFFFF"/>
        </w:rPr>
        <w:t xml:space="preserve">Development of </w:t>
      </w:r>
      <w:proofErr w:type="spellStart"/>
      <w:r w:rsidRPr="006D785D">
        <w:rPr>
          <w:rFonts w:ascii="Times New Roman" w:hAnsi="Times New Roman" w:cs="Times New Roman"/>
          <w:b/>
          <w:color w:val="333333"/>
          <w:sz w:val="28"/>
          <w:szCs w:val="28"/>
          <w:shd w:val="clear" w:color="auto" w:fill="FFFFFF"/>
        </w:rPr>
        <w:t>microporous</w:t>
      </w:r>
      <w:proofErr w:type="spellEnd"/>
      <w:r w:rsidRPr="006D785D">
        <w:rPr>
          <w:rFonts w:ascii="Times New Roman" w:hAnsi="Times New Roman" w:cs="Times New Roman"/>
          <w:b/>
          <w:color w:val="333333"/>
          <w:sz w:val="28"/>
          <w:szCs w:val="28"/>
          <w:shd w:val="clear" w:color="auto" w:fill="FFFFFF"/>
        </w:rPr>
        <w:t xml:space="preserve"> activated </w:t>
      </w:r>
      <w:proofErr w:type="spellStart"/>
      <w:r w:rsidRPr="006D785D">
        <w:rPr>
          <w:rFonts w:ascii="Times New Roman" w:hAnsi="Times New Roman" w:cs="Times New Roman"/>
          <w:b/>
          <w:color w:val="333333"/>
          <w:sz w:val="28"/>
          <w:szCs w:val="28"/>
          <w:shd w:val="clear" w:color="auto" w:fill="FFFFFF"/>
        </w:rPr>
        <w:t>Aloji</w:t>
      </w:r>
      <w:proofErr w:type="spellEnd"/>
      <w:r w:rsidRPr="006D785D">
        <w:rPr>
          <w:rFonts w:ascii="Times New Roman" w:hAnsi="Times New Roman" w:cs="Times New Roman"/>
          <w:b/>
          <w:color w:val="333333"/>
          <w:sz w:val="28"/>
          <w:szCs w:val="28"/>
          <w:shd w:val="clear" w:color="auto" w:fill="FFFFFF"/>
        </w:rPr>
        <w:t xml:space="preserve"> clay for adsorption of lead (II) ions from aqueous solution</w:t>
      </w:r>
    </w:p>
    <w:bookmarkEnd w:id="0"/>
    <w:p w:rsidR="006D785D" w:rsidRPr="006D785D" w:rsidRDefault="006D785D">
      <w:pPr>
        <w:rPr>
          <w:rFonts w:ascii="Times New Roman" w:hAnsi="Times New Roman" w:cs="Times New Roman"/>
          <w:b/>
          <w:color w:val="333333"/>
          <w:sz w:val="24"/>
          <w:szCs w:val="24"/>
          <w:shd w:val="clear" w:color="auto" w:fill="FFFFFF"/>
        </w:rPr>
      </w:pPr>
    </w:p>
    <w:p w:rsidR="006D785D" w:rsidRPr="006D785D" w:rsidRDefault="006D785D">
      <w:pPr>
        <w:rPr>
          <w:rFonts w:ascii="Times New Roman" w:hAnsi="Times New Roman" w:cs="Times New Roman"/>
          <w:b/>
          <w:color w:val="333333"/>
          <w:sz w:val="24"/>
          <w:szCs w:val="24"/>
          <w:shd w:val="clear" w:color="auto" w:fill="FFFFFF"/>
        </w:rPr>
      </w:pPr>
      <w:r w:rsidRPr="006D785D">
        <w:rPr>
          <w:rFonts w:ascii="Times New Roman" w:hAnsi="Times New Roman" w:cs="Times New Roman"/>
          <w:b/>
          <w:color w:val="333333"/>
          <w:sz w:val="24"/>
          <w:szCs w:val="24"/>
          <w:shd w:val="clear" w:color="auto" w:fill="FFFFFF"/>
        </w:rPr>
        <w:t>Abstract</w:t>
      </w:r>
    </w:p>
    <w:p w:rsidR="006D785D" w:rsidRPr="006D785D" w:rsidRDefault="006D785D">
      <w:pPr>
        <w:rPr>
          <w:rFonts w:ascii="Times New Roman" w:hAnsi="Times New Roman" w:cs="Times New Roman"/>
          <w:color w:val="333333"/>
          <w:sz w:val="24"/>
          <w:szCs w:val="24"/>
          <w:shd w:val="clear" w:color="auto" w:fill="FFFFFF"/>
        </w:rPr>
      </w:pPr>
    </w:p>
    <w:p w:rsidR="006D785D" w:rsidRPr="006D785D" w:rsidRDefault="006D785D">
      <w:pPr>
        <w:rPr>
          <w:rFonts w:ascii="Times New Roman" w:hAnsi="Times New Roman" w:cs="Times New Roman"/>
          <w:sz w:val="24"/>
          <w:szCs w:val="24"/>
        </w:rPr>
      </w:pPr>
      <w:proofErr w:type="spellStart"/>
      <w:r w:rsidRPr="006D785D">
        <w:rPr>
          <w:rFonts w:ascii="Times New Roman" w:hAnsi="Times New Roman" w:cs="Times New Roman"/>
          <w:color w:val="2E2E2E"/>
          <w:sz w:val="24"/>
          <w:szCs w:val="24"/>
        </w:rPr>
        <w:t>Aloji</w:t>
      </w:r>
      <w:proofErr w:type="spellEnd"/>
      <w:r w:rsidRPr="006D785D">
        <w:rPr>
          <w:rFonts w:ascii="Times New Roman" w:hAnsi="Times New Roman" w:cs="Times New Roman"/>
          <w:color w:val="2E2E2E"/>
          <w:sz w:val="24"/>
          <w:szCs w:val="24"/>
        </w:rPr>
        <w:t xml:space="preserve"> clay was activated with </w:t>
      </w:r>
      <w:proofErr w:type="spellStart"/>
      <w:r w:rsidRPr="006D785D">
        <w:rPr>
          <w:rFonts w:ascii="Times New Roman" w:hAnsi="Times New Roman" w:cs="Times New Roman"/>
          <w:color w:val="2E2E2E"/>
          <w:sz w:val="24"/>
          <w:szCs w:val="24"/>
        </w:rPr>
        <w:t>HCl</w:t>
      </w:r>
      <w:proofErr w:type="spellEnd"/>
      <w:r w:rsidRPr="006D785D">
        <w:rPr>
          <w:rFonts w:ascii="Times New Roman" w:hAnsi="Times New Roman" w:cs="Times New Roman"/>
          <w:color w:val="2E2E2E"/>
          <w:sz w:val="24"/>
          <w:szCs w:val="24"/>
        </w:rPr>
        <w:t xml:space="preserve"> at optimal conditions variables (acid concentration, </w:t>
      </w:r>
      <w:hyperlink r:id="rId4" w:tooltip="Learn more about activation temperature from ScienceDirect's AI-generated Topic Pages" w:history="1">
        <w:r w:rsidRPr="006D785D">
          <w:rPr>
            <w:rStyle w:val="Hyperlink"/>
            <w:rFonts w:ascii="Times New Roman" w:hAnsi="Times New Roman" w:cs="Times New Roman"/>
            <w:color w:val="2E2E2E"/>
            <w:sz w:val="24"/>
            <w:szCs w:val="24"/>
          </w:rPr>
          <w:t>activation temperature</w:t>
        </w:r>
      </w:hyperlink>
      <w:r w:rsidRPr="006D785D">
        <w:rPr>
          <w:rFonts w:ascii="Times New Roman" w:hAnsi="Times New Roman" w:cs="Times New Roman"/>
          <w:color w:val="2E2E2E"/>
          <w:sz w:val="24"/>
          <w:szCs w:val="24"/>
        </w:rPr>
        <w:t> and time) using </w:t>
      </w:r>
      <w:hyperlink r:id="rId5" w:tooltip="Learn more about central composite design from ScienceDirect's AI-generated Topic Pages" w:history="1">
        <w:r w:rsidRPr="006D785D">
          <w:rPr>
            <w:rStyle w:val="Hyperlink"/>
            <w:rFonts w:ascii="Times New Roman" w:hAnsi="Times New Roman" w:cs="Times New Roman"/>
            <w:color w:val="2E2E2E"/>
            <w:sz w:val="24"/>
            <w:szCs w:val="24"/>
          </w:rPr>
          <w:t>central composite design</w:t>
        </w:r>
      </w:hyperlink>
      <w:r w:rsidRPr="006D785D">
        <w:rPr>
          <w:rFonts w:ascii="Times New Roman" w:hAnsi="Times New Roman" w:cs="Times New Roman"/>
          <w:color w:val="2E2E2E"/>
          <w:sz w:val="24"/>
          <w:szCs w:val="24"/>
        </w:rPr>
        <w:t> with yield (%) and Pb</w:t>
      </w:r>
      <w:r w:rsidRPr="006D785D">
        <w:rPr>
          <w:rFonts w:ascii="Times New Roman" w:hAnsi="Times New Roman" w:cs="Times New Roman"/>
          <w:color w:val="2E2E2E"/>
          <w:sz w:val="24"/>
          <w:szCs w:val="24"/>
          <w:vertAlign w:val="superscript"/>
        </w:rPr>
        <w:t>2+</w:t>
      </w:r>
      <w:r w:rsidRPr="006D785D">
        <w:rPr>
          <w:rFonts w:ascii="Times New Roman" w:hAnsi="Times New Roman" w:cs="Times New Roman"/>
          <w:color w:val="2E2E2E"/>
          <w:sz w:val="24"/>
          <w:szCs w:val="24"/>
        </w:rPr>
        <w:t> uptake as responses targeted. The obtained optimum conditions for high yield (%) and Pb</w:t>
      </w:r>
      <w:r w:rsidRPr="006D785D">
        <w:rPr>
          <w:rFonts w:ascii="Times New Roman" w:hAnsi="Times New Roman" w:cs="Times New Roman"/>
          <w:color w:val="2E2E2E"/>
          <w:sz w:val="24"/>
          <w:szCs w:val="24"/>
          <w:vertAlign w:val="superscript"/>
        </w:rPr>
        <w:t>2+</w:t>
      </w:r>
      <w:r w:rsidRPr="006D785D">
        <w:rPr>
          <w:rFonts w:ascii="Times New Roman" w:hAnsi="Times New Roman" w:cs="Times New Roman"/>
          <w:color w:val="2E2E2E"/>
          <w:sz w:val="24"/>
          <w:szCs w:val="24"/>
        </w:rPr>
        <w:t> uptake were at 0.5 M, 100 °C and 120 min. At these conditions, BET surface area of 214.80 m</w:t>
      </w:r>
      <w:r w:rsidRPr="006D785D">
        <w:rPr>
          <w:rFonts w:ascii="Times New Roman" w:hAnsi="Times New Roman" w:cs="Times New Roman"/>
          <w:color w:val="2E2E2E"/>
          <w:sz w:val="24"/>
          <w:szCs w:val="24"/>
          <w:vertAlign w:val="superscript"/>
        </w:rPr>
        <w:t>2</w:t>
      </w:r>
      <w:r w:rsidRPr="006D785D">
        <w:rPr>
          <w:rFonts w:ascii="Times New Roman" w:hAnsi="Times New Roman" w:cs="Times New Roman"/>
          <w:color w:val="2E2E2E"/>
          <w:sz w:val="24"/>
          <w:szCs w:val="24"/>
        </w:rPr>
        <w:t>/g of the </w:t>
      </w:r>
      <w:proofErr w:type="spellStart"/>
      <w:r w:rsidRPr="006D785D">
        <w:rPr>
          <w:rFonts w:ascii="Times New Roman" w:hAnsi="Times New Roman" w:cs="Times New Roman"/>
          <w:color w:val="2E2E2E"/>
          <w:sz w:val="24"/>
          <w:szCs w:val="24"/>
        </w:rPr>
        <w:fldChar w:fldCharType="begin"/>
      </w:r>
      <w:r w:rsidRPr="006D785D">
        <w:rPr>
          <w:rFonts w:ascii="Times New Roman" w:hAnsi="Times New Roman" w:cs="Times New Roman"/>
          <w:color w:val="2E2E2E"/>
          <w:sz w:val="24"/>
          <w:szCs w:val="24"/>
        </w:rPr>
        <w:instrText xml:space="preserve"> HYPERLINK "https://www.sciencedirect.com/topics/chemistry/micro-porosity" \o "Learn more about microporous from ScienceDirect's AI-generated Topic Pages" </w:instrText>
      </w:r>
      <w:r w:rsidRPr="006D785D">
        <w:rPr>
          <w:rFonts w:ascii="Times New Roman" w:hAnsi="Times New Roman" w:cs="Times New Roman"/>
          <w:color w:val="2E2E2E"/>
          <w:sz w:val="24"/>
          <w:szCs w:val="24"/>
        </w:rPr>
        <w:fldChar w:fldCharType="separate"/>
      </w:r>
      <w:r w:rsidRPr="006D785D">
        <w:rPr>
          <w:rStyle w:val="Hyperlink"/>
          <w:rFonts w:ascii="Times New Roman" w:hAnsi="Times New Roman" w:cs="Times New Roman"/>
          <w:color w:val="2E2E2E"/>
          <w:sz w:val="24"/>
          <w:szCs w:val="24"/>
        </w:rPr>
        <w:t>microporous</w:t>
      </w:r>
      <w:proofErr w:type="spellEnd"/>
      <w:r w:rsidRPr="006D785D">
        <w:rPr>
          <w:rFonts w:ascii="Times New Roman" w:hAnsi="Times New Roman" w:cs="Times New Roman"/>
          <w:color w:val="2E2E2E"/>
          <w:sz w:val="24"/>
          <w:szCs w:val="24"/>
        </w:rPr>
        <w:fldChar w:fldCharType="end"/>
      </w:r>
      <w:r w:rsidRPr="006D785D">
        <w:rPr>
          <w:rFonts w:ascii="Times New Roman" w:hAnsi="Times New Roman" w:cs="Times New Roman"/>
          <w:color w:val="2E2E2E"/>
          <w:sz w:val="24"/>
          <w:szCs w:val="24"/>
        </w:rPr>
        <w:t> activated adsorbent gave a maximum monolayer of 333.33 mg/g for Pb</w:t>
      </w:r>
      <w:r w:rsidRPr="006D785D">
        <w:rPr>
          <w:rFonts w:ascii="Times New Roman" w:hAnsi="Times New Roman" w:cs="Times New Roman"/>
          <w:color w:val="2E2E2E"/>
          <w:sz w:val="24"/>
          <w:szCs w:val="24"/>
          <w:vertAlign w:val="superscript"/>
        </w:rPr>
        <w:t>2+</w:t>
      </w:r>
      <w:r w:rsidRPr="006D785D">
        <w:rPr>
          <w:rFonts w:ascii="Times New Roman" w:hAnsi="Times New Roman" w:cs="Times New Roman"/>
          <w:color w:val="2E2E2E"/>
          <w:sz w:val="24"/>
          <w:szCs w:val="24"/>
        </w:rPr>
        <w:t>. The effects of equilibrium time, initial Pb</w:t>
      </w:r>
      <w:r w:rsidRPr="006D785D">
        <w:rPr>
          <w:rFonts w:ascii="Times New Roman" w:hAnsi="Times New Roman" w:cs="Times New Roman"/>
          <w:color w:val="2E2E2E"/>
          <w:sz w:val="24"/>
          <w:szCs w:val="24"/>
          <w:vertAlign w:val="superscript"/>
        </w:rPr>
        <w:t>2+</w:t>
      </w:r>
      <w:r w:rsidRPr="006D785D">
        <w:rPr>
          <w:rFonts w:ascii="Times New Roman" w:hAnsi="Times New Roman" w:cs="Times New Roman"/>
          <w:color w:val="2E2E2E"/>
          <w:sz w:val="24"/>
          <w:szCs w:val="24"/>
        </w:rPr>
        <w:t xml:space="preserve"> concentration, temperature and adsorbent dosage were examined. Pseudo-second-order kinetic and </w:t>
      </w:r>
      <w:proofErr w:type="spellStart"/>
      <w:r w:rsidRPr="006D785D">
        <w:rPr>
          <w:rFonts w:ascii="Times New Roman" w:hAnsi="Times New Roman" w:cs="Times New Roman"/>
          <w:color w:val="2E2E2E"/>
          <w:sz w:val="24"/>
          <w:szCs w:val="24"/>
        </w:rPr>
        <w:t>Freundlich</w:t>
      </w:r>
      <w:proofErr w:type="spellEnd"/>
      <w:r w:rsidRPr="006D785D">
        <w:rPr>
          <w:rFonts w:ascii="Times New Roman" w:hAnsi="Times New Roman" w:cs="Times New Roman"/>
          <w:color w:val="2E2E2E"/>
          <w:sz w:val="24"/>
          <w:szCs w:val="24"/>
        </w:rPr>
        <w:t xml:space="preserve"> models best described Pb</w:t>
      </w:r>
      <w:r w:rsidRPr="006D785D">
        <w:rPr>
          <w:rFonts w:ascii="Times New Roman" w:hAnsi="Times New Roman" w:cs="Times New Roman"/>
          <w:color w:val="2E2E2E"/>
          <w:sz w:val="24"/>
          <w:szCs w:val="24"/>
          <w:vertAlign w:val="superscript"/>
        </w:rPr>
        <w:t>2+</w:t>
      </w:r>
      <w:r w:rsidRPr="006D785D">
        <w:rPr>
          <w:rFonts w:ascii="Times New Roman" w:hAnsi="Times New Roman" w:cs="Times New Roman"/>
          <w:color w:val="2E2E2E"/>
          <w:sz w:val="24"/>
          <w:szCs w:val="24"/>
        </w:rPr>
        <w:t xml:space="preserve"> adsorption onto </w:t>
      </w:r>
      <w:proofErr w:type="spellStart"/>
      <w:r w:rsidRPr="006D785D">
        <w:rPr>
          <w:rFonts w:ascii="Times New Roman" w:hAnsi="Times New Roman" w:cs="Times New Roman"/>
          <w:color w:val="2E2E2E"/>
          <w:sz w:val="24"/>
          <w:szCs w:val="24"/>
        </w:rPr>
        <w:t>Aloji</w:t>
      </w:r>
      <w:proofErr w:type="spellEnd"/>
      <w:r w:rsidRPr="006D785D">
        <w:rPr>
          <w:rFonts w:ascii="Times New Roman" w:hAnsi="Times New Roman" w:cs="Times New Roman"/>
          <w:color w:val="2E2E2E"/>
          <w:sz w:val="24"/>
          <w:szCs w:val="24"/>
        </w:rPr>
        <w:t xml:space="preserve"> activated clay as compared to the other </w:t>
      </w:r>
      <w:hyperlink r:id="rId6" w:tooltip="Learn more about isotherms from ScienceDirect's AI-generated Topic Pages" w:history="1">
        <w:r w:rsidRPr="006D785D">
          <w:rPr>
            <w:rStyle w:val="Hyperlink"/>
            <w:rFonts w:ascii="Times New Roman" w:hAnsi="Times New Roman" w:cs="Times New Roman"/>
            <w:color w:val="2E2E2E"/>
            <w:sz w:val="24"/>
            <w:szCs w:val="24"/>
          </w:rPr>
          <w:t>isotherms</w:t>
        </w:r>
      </w:hyperlink>
      <w:r w:rsidRPr="006D785D">
        <w:rPr>
          <w:rFonts w:ascii="Times New Roman" w:hAnsi="Times New Roman" w:cs="Times New Roman"/>
          <w:color w:val="2E2E2E"/>
          <w:sz w:val="24"/>
          <w:szCs w:val="24"/>
        </w:rPr>
        <w:t> and </w:t>
      </w:r>
      <w:hyperlink r:id="rId7" w:tooltip="Learn more about kinetics models from ScienceDirect's AI-generated Topic Pages" w:history="1">
        <w:r w:rsidRPr="006D785D">
          <w:rPr>
            <w:rStyle w:val="Hyperlink"/>
            <w:rFonts w:ascii="Times New Roman" w:hAnsi="Times New Roman" w:cs="Times New Roman"/>
            <w:color w:val="2E2E2E"/>
            <w:sz w:val="24"/>
            <w:szCs w:val="24"/>
          </w:rPr>
          <w:t>kinetics models</w:t>
        </w:r>
      </w:hyperlink>
      <w:r w:rsidRPr="006D785D">
        <w:rPr>
          <w:rFonts w:ascii="Times New Roman" w:hAnsi="Times New Roman" w:cs="Times New Roman"/>
          <w:color w:val="2E2E2E"/>
          <w:sz w:val="24"/>
          <w:szCs w:val="24"/>
        </w:rPr>
        <w:t xml:space="preserve"> investigated. The adsorption process was spontaneous, exothermic and physical as revealed by the nature of the thermodynamic studies. The study shows that the discharge of harmful substances posed by industrials into water bodies can be salvage by effective and efficient use of activated </w:t>
      </w:r>
      <w:proofErr w:type="spellStart"/>
      <w:r w:rsidRPr="006D785D">
        <w:rPr>
          <w:rFonts w:ascii="Times New Roman" w:hAnsi="Times New Roman" w:cs="Times New Roman"/>
          <w:color w:val="2E2E2E"/>
          <w:sz w:val="24"/>
          <w:szCs w:val="24"/>
        </w:rPr>
        <w:t>Aloji</w:t>
      </w:r>
      <w:proofErr w:type="spellEnd"/>
      <w:r w:rsidRPr="006D785D">
        <w:rPr>
          <w:rFonts w:ascii="Times New Roman" w:hAnsi="Times New Roman" w:cs="Times New Roman"/>
          <w:color w:val="2E2E2E"/>
          <w:sz w:val="24"/>
          <w:szCs w:val="24"/>
        </w:rPr>
        <w:t xml:space="preserve"> clay.</w:t>
      </w:r>
    </w:p>
    <w:sectPr w:rsidR="006D785D" w:rsidRPr="006D7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5"/>
    <w:rsid w:val="00165F5A"/>
    <w:rsid w:val="001B1585"/>
    <w:rsid w:val="006D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81473-F14A-4D6A-99AA-3FB96BCD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7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direct.com/topics/engineering/kinetic-mod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mathematics/isotherms" TargetMode="External"/><Relationship Id="rId5" Type="http://schemas.openxmlformats.org/officeDocument/2006/relationships/hyperlink" Target="https://www.sciencedirect.com/topics/engineering/central-composite-design" TargetMode="External"/><Relationship Id="rId4" Type="http://schemas.openxmlformats.org/officeDocument/2006/relationships/hyperlink" Target="https://www.sciencedirect.com/topics/mathematics/activation-temperatu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2</cp:revision>
  <dcterms:created xsi:type="dcterms:W3CDTF">2022-12-11T13:35:00Z</dcterms:created>
  <dcterms:modified xsi:type="dcterms:W3CDTF">2022-12-11T13:36:00Z</dcterms:modified>
</cp:coreProperties>
</file>