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34" w:lineRule="auto"/>
        <w:jc w:val="center"/>
        <w:rPr>
          <w:rFonts w:ascii="Times New Roman" w:hAnsi="Times New Roman" w:cs="Times New Roman"/>
          <w:b/>
          <w:sz w:val="28"/>
          <w:szCs w:val="28"/>
          <w:lang w:val="en-GB"/>
        </w:rPr>
      </w:pPr>
      <w:r>
        <w:rPr>
          <w:rFonts w:ascii="Times New Roman" w:hAnsi="Times New Roman" w:eastAsia="Arial" w:cs="Times New Roman"/>
          <w:b/>
          <w:sz w:val="28"/>
          <w:szCs w:val="28"/>
        </w:rPr>
        <w:t xml:space="preserve">Effect of Phytocystatim from </w:t>
      </w:r>
      <w:r>
        <w:rPr>
          <w:rFonts w:ascii="Times New Roman" w:hAnsi="Times New Roman" w:cs="Times New Roman"/>
          <w:b/>
          <w:bCs/>
          <w:i/>
          <w:iCs/>
          <w:sz w:val="28"/>
          <w:szCs w:val="28"/>
          <w:lang w:val="en-US"/>
        </w:rPr>
        <w:t>Moringa oleifera</w:t>
      </w:r>
      <w:r>
        <w:rPr>
          <w:rFonts w:ascii="Times New Roman" w:hAnsi="Times New Roman" w:cs="Times New Roman"/>
          <w:b/>
          <w:bCs/>
          <w:i/>
          <w:iCs/>
          <w:sz w:val="28"/>
          <w:szCs w:val="28"/>
          <w:lang w:val="en-GB"/>
        </w:rPr>
        <w:t xml:space="preserve"> </w:t>
      </w:r>
      <w:r>
        <w:rPr>
          <w:rFonts w:hint="default" w:ascii="Times New Roman" w:hAnsi="Times New Roman" w:cs="Times New Roman"/>
          <w:b/>
          <w:bCs/>
          <w:i w:val="0"/>
          <w:iCs w:val="0"/>
          <w:sz w:val="28"/>
          <w:szCs w:val="28"/>
          <w:lang w:val="en-US"/>
        </w:rPr>
        <w:t>Leaf</w:t>
      </w:r>
      <w:r>
        <w:rPr>
          <w:rFonts w:ascii="Times New Roman" w:hAnsi="Times New Roman" w:cs="Times New Roman"/>
          <w:b/>
          <w:bCs/>
          <w:i w:val="0"/>
          <w:iCs w:val="0"/>
          <w:sz w:val="28"/>
          <w:szCs w:val="28"/>
          <w:lang w:val="en-GB"/>
        </w:rPr>
        <w:t xml:space="preserve"> </w:t>
      </w:r>
      <w:r>
        <w:rPr>
          <w:rFonts w:ascii="Times New Roman" w:hAnsi="Times New Roman" w:eastAsia="Arial" w:cs="Times New Roman"/>
          <w:b/>
          <w:sz w:val="28"/>
          <w:szCs w:val="28"/>
        </w:rPr>
        <w:t xml:space="preserve">on some </w:t>
      </w:r>
      <w:r>
        <w:rPr>
          <w:rFonts w:hint="default" w:ascii="Times New Roman" w:hAnsi="Times New Roman" w:eastAsia="Arial" w:cs="Times New Roman"/>
          <w:b/>
          <w:sz w:val="28"/>
          <w:szCs w:val="28"/>
          <w:lang w:val="en-US"/>
        </w:rPr>
        <w:t>B</w:t>
      </w:r>
      <w:r>
        <w:rPr>
          <w:rFonts w:ascii="Times New Roman" w:hAnsi="Times New Roman" w:eastAsia="Arial" w:cs="Times New Roman"/>
          <w:b/>
          <w:sz w:val="28"/>
          <w:szCs w:val="28"/>
        </w:rPr>
        <w:t xml:space="preserve">iochemical </w:t>
      </w:r>
      <w:r>
        <w:rPr>
          <w:rFonts w:hint="default" w:ascii="Times New Roman" w:hAnsi="Times New Roman" w:eastAsia="Arial" w:cs="Times New Roman"/>
          <w:b/>
          <w:sz w:val="28"/>
          <w:szCs w:val="28"/>
          <w:lang w:val="en-US"/>
        </w:rPr>
        <w:t>P</w:t>
      </w:r>
      <w:r>
        <w:rPr>
          <w:rFonts w:ascii="Times New Roman" w:hAnsi="Times New Roman" w:eastAsia="Arial" w:cs="Times New Roman"/>
          <w:b/>
          <w:sz w:val="28"/>
          <w:szCs w:val="28"/>
        </w:rPr>
        <w:t xml:space="preserve">arameters of Mice </w:t>
      </w:r>
      <w:r>
        <w:rPr>
          <w:rFonts w:hint="default" w:ascii="Times New Roman" w:hAnsi="Times New Roman" w:eastAsia="Arial" w:cs="Times New Roman"/>
          <w:b/>
          <w:sz w:val="28"/>
          <w:szCs w:val="28"/>
          <w:lang w:val="en-US"/>
        </w:rPr>
        <w:t>I</w:t>
      </w:r>
      <w:r>
        <w:rPr>
          <w:rFonts w:ascii="Times New Roman" w:hAnsi="Times New Roman" w:eastAsia="Arial" w:cs="Times New Roman"/>
          <w:b/>
          <w:sz w:val="28"/>
          <w:szCs w:val="28"/>
        </w:rPr>
        <w:t>nfected with</w:t>
      </w:r>
      <w:r>
        <w:rPr>
          <w:rFonts w:ascii="Times New Roman" w:hAnsi="Times New Roman" w:eastAsia="Arial" w:cs="Times New Roman"/>
          <w:b/>
          <w:i/>
          <w:sz w:val="28"/>
          <w:szCs w:val="28"/>
        </w:rPr>
        <w:t xml:space="preserve"> </w:t>
      </w:r>
      <w:r>
        <w:rPr>
          <w:rFonts w:ascii="Times New Roman" w:hAnsi="Times New Roman" w:cs="Times New Roman"/>
          <w:b/>
          <w:i/>
          <w:iCs/>
          <w:sz w:val="28"/>
          <w:szCs w:val="28"/>
          <w:lang w:val="en-GB"/>
        </w:rPr>
        <w:t xml:space="preserve">Plasmodium berghei </w:t>
      </w:r>
      <w:r>
        <w:rPr>
          <w:rFonts w:ascii="Times New Roman" w:hAnsi="Times New Roman" w:cs="Times New Roman"/>
          <w:b/>
          <w:sz w:val="28"/>
          <w:szCs w:val="28"/>
          <w:lang w:val="en-GB"/>
        </w:rPr>
        <w:t>NK65</w:t>
      </w:r>
    </w:p>
    <w:p>
      <w:pPr>
        <w:spacing w:line="234" w:lineRule="auto"/>
        <w:jc w:val="center"/>
        <w:rPr>
          <w:rFonts w:ascii="Times New Roman" w:hAnsi="Times New Roman" w:cs="Times New Roman"/>
          <w:b/>
          <w:sz w:val="28"/>
          <w:szCs w:val="28"/>
          <w:lang w:val="en-GB"/>
        </w:rPr>
      </w:pPr>
    </w:p>
    <w:p>
      <w:pPr>
        <w:spacing w:line="234" w:lineRule="auto"/>
        <w:rPr>
          <w:rFonts w:ascii="Times New Roman" w:hAnsi="Times New Roman" w:cs="Times New Roman"/>
          <w:sz w:val="28"/>
          <w:szCs w:val="28"/>
          <w:lang w:val="en-GB"/>
        </w:rPr>
      </w:pPr>
      <w:r>
        <w:rPr>
          <w:rFonts w:ascii="Times New Roman" w:hAnsi="Times New Roman" w:cs="Times New Roman"/>
          <w:sz w:val="28"/>
          <w:szCs w:val="28"/>
          <w:lang w:val="en-GB"/>
        </w:rPr>
        <w:t>ABSTRACT</w:t>
      </w:r>
    </w:p>
    <w:p>
      <w:pPr>
        <w:spacing w:line="237" w:lineRule="auto"/>
        <w:ind w:left="370" w:right="256" w:hanging="10"/>
        <w:jc w:val="both"/>
        <w:rPr>
          <w:rFonts w:ascii="Times New Roman" w:hAnsi="Times New Roman" w:cs="Times New Roman"/>
          <w:bCs/>
          <w:sz w:val="24"/>
          <w:szCs w:val="24"/>
        </w:rPr>
      </w:pPr>
      <w:r>
        <w:rPr>
          <w:rFonts w:ascii="Times New Roman" w:hAnsi="Times New Roman" w:eastAsia="Arial" w:cs="Times New Roman"/>
          <w:bCs/>
          <w:sz w:val="24"/>
          <w:szCs w:val="24"/>
        </w:rPr>
        <w:t xml:space="preserve">Current drugs used in the management of Malaria  encounter parasite resistance, hence the need for urgent and readily available alternative source of antiplasmodial agents. The effect of crude phytocystatin extract of </w:t>
      </w:r>
      <w:r>
        <w:rPr>
          <w:rFonts w:ascii="Times New Roman" w:hAnsi="Times New Roman" w:cs="Times New Roman"/>
          <w:i/>
          <w:iCs/>
          <w:sz w:val="24"/>
          <w:szCs w:val="24"/>
          <w:lang w:val="en-US"/>
        </w:rPr>
        <w:t>Moringa oleifera</w:t>
      </w:r>
      <w:r>
        <w:rPr>
          <w:rFonts w:hint="default" w:ascii="Times New Roman" w:hAnsi="Times New Roman" w:cs="Times New Roman"/>
          <w:i/>
          <w:iCs/>
          <w:sz w:val="24"/>
          <w:szCs w:val="24"/>
          <w:lang w:val="en-US"/>
        </w:rPr>
        <w:t xml:space="preserve"> </w:t>
      </w:r>
      <w:r>
        <w:rPr>
          <w:rFonts w:hint="default" w:ascii="Times New Roman" w:hAnsi="Times New Roman" w:cs="Times New Roman"/>
          <w:i w:val="0"/>
          <w:iCs w:val="0"/>
          <w:sz w:val="24"/>
          <w:szCs w:val="24"/>
          <w:lang w:val="en-US"/>
        </w:rPr>
        <w:t>leaf</w:t>
      </w:r>
      <w:r>
        <w:rPr>
          <w:rFonts w:ascii="Times New Roman" w:hAnsi="Times New Roman" w:eastAsia="Arial" w:cs="Times New Roman"/>
          <w:bCs/>
          <w:sz w:val="24"/>
          <w:szCs w:val="24"/>
        </w:rPr>
        <w:t xml:space="preserve"> in mice experimentally infected with </w:t>
      </w:r>
      <w:r>
        <w:rPr>
          <w:rFonts w:ascii="Times New Roman" w:hAnsi="Times New Roman" w:eastAsia="Arial" w:cs="Times New Roman"/>
          <w:bCs/>
          <w:i/>
          <w:sz w:val="24"/>
          <w:szCs w:val="24"/>
        </w:rPr>
        <w:t xml:space="preserve">Plasmodium berghei  </w:t>
      </w:r>
      <w:r>
        <w:rPr>
          <w:rFonts w:ascii="Times New Roman" w:hAnsi="Times New Roman" w:eastAsia="Arial" w:cs="Times New Roman"/>
          <w:bCs/>
          <w:sz w:val="24"/>
          <w:szCs w:val="24"/>
        </w:rPr>
        <w:t>NK 65 strain  was investigated. The oral acute toxicity of the extract was determined in mice. Parasitaemia was estimated daily while Total protein, albumin, globulin, free fatty acid  packed cell volume (PCV), were determined at days 5 and 10 post treatment. The results showed that the oral median lethal dose (LD</w:t>
      </w:r>
      <w:r>
        <w:rPr>
          <w:rFonts w:ascii="Times New Roman" w:hAnsi="Times New Roman" w:eastAsia="Arial" w:cs="Times New Roman"/>
          <w:bCs/>
          <w:sz w:val="24"/>
          <w:szCs w:val="24"/>
          <w:vertAlign w:val="subscript"/>
        </w:rPr>
        <w:t>50</w:t>
      </w:r>
      <w:r>
        <w:rPr>
          <w:rFonts w:ascii="Times New Roman" w:hAnsi="Times New Roman" w:eastAsia="Arial" w:cs="Times New Roman"/>
          <w:bCs/>
          <w:sz w:val="24"/>
          <w:szCs w:val="24"/>
        </w:rPr>
        <w:t xml:space="preserve">) was greater than 5000 mg extract/ Kg body weight. There was extension of life in the treated groups when compared to the negative control. The administration of the crude phytocystatin extract led to a highly significant (P&lt;0.05) increase in Total protein, albumin, and packed cell volume levels while the globulin and free fatty acid levels decreased significantly (P&lt;0.05). It is concluded that the crude phytocystatin extract of </w:t>
      </w:r>
      <w:r>
        <w:rPr>
          <w:rFonts w:ascii="Times New Roman" w:hAnsi="Times New Roman" w:cs="Times New Roman"/>
          <w:i/>
          <w:iCs/>
          <w:sz w:val="24"/>
          <w:szCs w:val="24"/>
          <w:lang w:val="en-US"/>
        </w:rPr>
        <w:t>Moringa oleifera</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leaf</w:t>
      </w:r>
      <w:r>
        <w:rPr>
          <w:rFonts w:ascii="Times New Roman" w:hAnsi="Times New Roman" w:eastAsia="Arial" w:cs="Times New Roman"/>
          <w:bCs/>
          <w:sz w:val="24"/>
          <w:szCs w:val="24"/>
        </w:rPr>
        <w:t xml:space="preserve"> has antiplasmodial activity and is effective in the management of anaemia induced by </w:t>
      </w:r>
      <w:r>
        <w:rPr>
          <w:rFonts w:ascii="Times New Roman" w:hAnsi="Times New Roman" w:eastAsia="Arial" w:cs="Times New Roman"/>
          <w:bCs/>
          <w:i/>
          <w:sz w:val="24"/>
          <w:szCs w:val="24"/>
        </w:rPr>
        <w:t xml:space="preserve">Plasmodium berghei </w:t>
      </w:r>
      <w:r>
        <w:rPr>
          <w:rFonts w:ascii="Times New Roman" w:hAnsi="Times New Roman" w:eastAsia="Arial" w:cs="Times New Roman"/>
          <w:bCs/>
          <w:sz w:val="24"/>
          <w:szCs w:val="24"/>
        </w:rPr>
        <w:t xml:space="preserve">in mice. </w:t>
      </w:r>
    </w:p>
    <w:p>
      <w:pPr>
        <w:spacing w:line="234" w:lineRule="auto"/>
        <w:jc w:val="center"/>
      </w:pPr>
    </w:p>
    <w:p>
      <w:pPr>
        <w:spacing w:line="240" w:lineRule="auto"/>
        <w:jc w:val="both"/>
        <w:rPr>
          <w:rFonts w:ascii="Times New Roman" w:hAnsi="Times New Roman" w:cs="Times New Roman"/>
          <w:sz w:val="24"/>
          <w:szCs w:val="24"/>
        </w:rPr>
      </w:pPr>
      <w:r>
        <w:rPr>
          <w:rFonts w:ascii="Times New Roman" w:hAnsi="Times New Roman" w:cs="Times New Roman"/>
          <w:b/>
          <w:sz w:val="24"/>
          <w:szCs w:val="24"/>
        </w:rPr>
        <w:t>Introduction</w:t>
      </w:r>
      <w:r>
        <w:rPr>
          <w:rFonts w:ascii="Times New Roman" w:hAnsi="Times New Roman" w:cs="Times New Roman"/>
          <w:sz w:val="24"/>
          <w:szCs w:val="24"/>
        </w:rPr>
        <w:t>.</w:t>
      </w:r>
    </w:p>
    <w:p>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rPr>
        <w:t>Malaria is a major cause of morbidity and mortality and it is estimated that more than half  World population  were at risk of malaria with an estimated 0.7-1 million deaths per year and  over 106 countries are malaria-endemic(WMR, 201</w:t>
      </w:r>
      <w:r>
        <w:rPr>
          <w:rFonts w:hint="default" w:ascii="Times New Roman" w:hAnsi="Times New Roman" w:cs="Times New Roman"/>
          <w:sz w:val="24"/>
          <w:szCs w:val="24"/>
          <w:lang w:val="en-US"/>
        </w:rPr>
        <w:t>9</w:t>
      </w:r>
      <w:r>
        <w:rPr>
          <w:rFonts w:ascii="Times New Roman" w:hAnsi="Times New Roman" w:cs="Times New Roman"/>
          <w:sz w:val="24"/>
          <w:szCs w:val="24"/>
        </w:rPr>
        <w:t xml:space="preserve">).Evolution of resistance to most affordable drug such as chloroquine and  gradual decline in the efficacy of artemisinine base combination therapies(ACTs) in </w:t>
      </w:r>
      <w:r>
        <w:rPr>
          <w:rFonts w:ascii="Times New Roman" w:hAnsi="Times New Roman" w:cs="Times New Roman"/>
          <w:i/>
          <w:sz w:val="24"/>
          <w:szCs w:val="24"/>
        </w:rPr>
        <w:t>Plasmodium</w:t>
      </w:r>
      <w:r>
        <w:rPr>
          <w:rFonts w:ascii="Times New Roman" w:hAnsi="Times New Roman" w:cs="Times New Roman"/>
          <w:sz w:val="24"/>
          <w:szCs w:val="24"/>
        </w:rPr>
        <w:t xml:space="preserve"> species(Karthik </w:t>
      </w:r>
      <w:r>
        <w:rPr>
          <w:rFonts w:ascii="Times New Roman" w:hAnsi="Times New Roman" w:cs="Times New Roman"/>
          <w:i/>
          <w:sz w:val="24"/>
          <w:szCs w:val="24"/>
        </w:rPr>
        <w:t>et al</w:t>
      </w:r>
      <w:r>
        <w:rPr>
          <w:rFonts w:ascii="Times New Roman" w:hAnsi="Times New Roman" w:cs="Times New Roman"/>
          <w:sz w:val="24"/>
          <w:szCs w:val="24"/>
        </w:rPr>
        <w:t xml:space="preserve"> 2014),with no effective vaccine in sight and resistance of vector to insecticides,  necessitates the need for novel entities, ideally directed against new targets such as  malarial  cysteine proteases (Rosental,2011;Karthik </w:t>
      </w:r>
      <w:r>
        <w:rPr>
          <w:rFonts w:ascii="Times New Roman" w:hAnsi="Times New Roman" w:cs="Times New Roman"/>
          <w:i/>
          <w:sz w:val="24"/>
          <w:szCs w:val="24"/>
        </w:rPr>
        <w:t>et al</w:t>
      </w:r>
      <w:r>
        <w:rPr>
          <w:rFonts w:ascii="Times New Roman" w:hAnsi="Times New Roman" w:cs="Times New Roman"/>
          <w:sz w:val="24"/>
          <w:szCs w:val="24"/>
        </w:rPr>
        <w:t xml:space="preserve"> 2014). The life cycle of malarial parasite exhibits two stages: exoerythrocytic cycle and erythrocytes life cycle. The erythrocytes life cycle was responsible for all clinical manifestations and it begins when   parasites(merozoites) invade erythrocytes and develop  to larger, more metabolically active form(trophozoites) followed by multinucleated schizont stages which bust out of red blood cells  and  reinvade the erythrocytes(Karthik </w:t>
      </w:r>
      <w:r>
        <w:rPr>
          <w:rFonts w:ascii="Times New Roman" w:hAnsi="Times New Roman" w:cs="Times New Roman"/>
          <w:i/>
          <w:sz w:val="24"/>
          <w:szCs w:val="24"/>
        </w:rPr>
        <w:t>et al</w:t>
      </w:r>
      <w:r>
        <w:rPr>
          <w:rFonts w:ascii="Times New Roman" w:hAnsi="Times New Roman" w:cs="Times New Roman"/>
          <w:sz w:val="24"/>
          <w:szCs w:val="24"/>
        </w:rPr>
        <w:t xml:space="preserve"> 2014).Plasmodium Cysteine protease  is required for the invation,rupture of erythrocytes and subsequent degradation of haemoglobin from the host(Rosental,2011).The amino acid released from haemoglobin degradation is used for the synthesis of  parasite protein  and hence survival of  these parasite inside the host organism.</w:t>
      </w:r>
      <w:r>
        <w:rPr>
          <w:rFonts w:ascii="Times New Roman" w:hAnsi="Times New Roman" w:cs="Times New Roman"/>
          <w:sz w:val="24"/>
          <w:szCs w:val="24"/>
          <w:lang w:val="en-GB"/>
        </w:rPr>
        <w:t xml:space="preserve"> Inhibition of </w:t>
      </w:r>
      <w:r>
        <w:rPr>
          <w:rFonts w:ascii="Times New Roman" w:hAnsi="Times New Roman" w:cs="Times New Roman"/>
          <w:sz w:val="24"/>
          <w:szCs w:val="24"/>
        </w:rPr>
        <w:t>haemoglobin</w:t>
      </w:r>
      <w:r>
        <w:rPr>
          <w:rFonts w:ascii="Times New Roman" w:hAnsi="Times New Roman" w:cs="Times New Roman"/>
          <w:sz w:val="24"/>
          <w:szCs w:val="24"/>
          <w:lang w:val="en-GB"/>
        </w:rPr>
        <w:t xml:space="preserve"> degradation offers a valid target</w:t>
      </w:r>
      <w:r>
        <w:rPr>
          <w:rFonts w:hint="default" w:ascii="Times New Roman" w:hAnsi="Times New Roman" w:cs="Times New Roman"/>
          <w:sz w:val="24"/>
          <w:szCs w:val="24"/>
          <w:lang w:val="en-US"/>
        </w:rPr>
        <w:t xml:space="preserve"> </w:t>
      </w:r>
      <w:r>
        <w:rPr>
          <w:rFonts w:ascii="Times New Roman" w:hAnsi="Times New Roman" w:cs="Times New Roman"/>
          <w:sz w:val="24"/>
          <w:szCs w:val="24"/>
          <w:lang w:val="en-GB"/>
        </w:rPr>
        <w:t>for developement of novel chemotherapeutic agents.</w:t>
      </w:r>
    </w:p>
    <w:p>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Phytocystatin are Cysteine protease inhibitor(CPI) found in plants  Their major functions  in plants includes; storage proteins, regulators of endogenous proteolysis, cell death, defence  against insect and pathogens attack(</w:t>
      </w:r>
      <w:r>
        <w:rPr>
          <w:rFonts w:ascii="Times New Roman" w:hAnsi="Times New Roman" w:cs="Times New Roman"/>
          <w:sz w:val="24"/>
          <w:szCs w:val="24"/>
        </w:rPr>
        <w:t>Ceros and Carbonell 1993)</w:t>
      </w:r>
      <w:r>
        <w:rPr>
          <w:rFonts w:ascii="Times New Roman" w:hAnsi="Times New Roman" w:cs="Times New Roman"/>
          <w:sz w:val="24"/>
          <w:szCs w:val="24"/>
          <w:lang w:val="en-GB"/>
        </w:rPr>
        <w:t xml:space="preserve">.Efficacy of synthetic peptides CPI and non protein CPI from plants  in treatment of diseases caused by </w:t>
      </w:r>
      <w:r>
        <w:rPr>
          <w:rFonts w:ascii="Times New Roman" w:hAnsi="Times New Roman" w:cs="Times New Roman"/>
          <w:i/>
          <w:iCs/>
          <w:sz w:val="24"/>
          <w:szCs w:val="24"/>
          <w:lang w:val="en-GB"/>
        </w:rPr>
        <w:t>Trypanosoma cruzi</w:t>
      </w:r>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 xml:space="preserve">Leishmania major, </w:t>
      </w:r>
      <w:r>
        <w:rPr>
          <w:rFonts w:ascii="Times New Roman" w:hAnsi="Times New Roman" w:cs="Times New Roman"/>
          <w:sz w:val="24"/>
          <w:szCs w:val="24"/>
          <w:lang w:val="en-GB"/>
        </w:rPr>
        <w:t xml:space="preserve">viruses and </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cancer treatment has been established(</w:t>
      </w:r>
      <w:r>
        <w:rPr>
          <w:rFonts w:ascii="Times New Roman" w:hAnsi="Times New Roman" w:cs="Times New Roman"/>
          <w:color w:val="231F20"/>
          <w:sz w:val="24"/>
          <w:szCs w:val="24"/>
        </w:rPr>
        <w:t xml:space="preserve">Mane </w:t>
      </w:r>
      <w:r>
        <w:rPr>
          <w:rFonts w:ascii="Times New Roman" w:hAnsi="Times New Roman" w:cs="Times New Roman"/>
          <w:i/>
          <w:color w:val="231F20"/>
          <w:sz w:val="24"/>
          <w:szCs w:val="24"/>
        </w:rPr>
        <w:t>et al</w:t>
      </w:r>
      <w:r>
        <w:rPr>
          <w:rFonts w:ascii="Times New Roman" w:hAnsi="Times New Roman" w:cs="Times New Roman"/>
          <w:color w:val="231F20"/>
          <w:sz w:val="24"/>
          <w:szCs w:val="24"/>
        </w:rPr>
        <w:t>,2013)</w:t>
      </w:r>
      <w:r>
        <w:rPr>
          <w:rFonts w:ascii="Times New Roman" w:hAnsi="Times New Roman" w:cs="Times New Roman"/>
          <w:sz w:val="24"/>
          <w:szCs w:val="24"/>
          <w:lang w:val="en-GB"/>
        </w:rPr>
        <w:t>.</w:t>
      </w:r>
    </w:p>
    <w:p>
      <w:pPr>
        <w:pStyle w:val="6"/>
        <w:rPr>
          <w:rFonts w:ascii="Times New Roman" w:hAnsi="Times New Roman" w:cs="Times New Roman"/>
        </w:rPr>
      </w:pPr>
    </w:p>
    <w:p>
      <w:pPr>
        <w:autoSpaceDE w:val="0"/>
        <w:autoSpaceDN w:val="0"/>
        <w:adjustRightInd w:val="0"/>
        <w:spacing w:line="240" w:lineRule="auto"/>
        <w:jc w:val="both"/>
        <w:rPr>
          <w:rFonts w:ascii="Times New Roman" w:hAnsi="Times New Roman" w:cs="Times New Roman"/>
          <w:iCs/>
          <w:sz w:val="24"/>
          <w:szCs w:val="24"/>
          <w:lang w:val="en-GB"/>
        </w:rPr>
      </w:pPr>
      <w:r>
        <w:rPr>
          <w:rFonts w:ascii="Times New Roman" w:hAnsi="Times New Roman" w:cs="Times New Roman"/>
          <w:sz w:val="24"/>
          <w:szCs w:val="24"/>
        </w:rPr>
        <w:t xml:space="preserve"> M</w:t>
      </w:r>
      <w:r>
        <w:rPr>
          <w:rFonts w:ascii="Times New Roman" w:hAnsi="Times New Roman" w:cs="Times New Roman"/>
          <w:i/>
          <w:iCs/>
          <w:sz w:val="24"/>
          <w:szCs w:val="24"/>
        </w:rPr>
        <w:t>oringa</w:t>
      </w:r>
      <w:r>
        <w:rPr>
          <w:rFonts w:ascii="Times New Roman" w:hAnsi="Times New Roman" w:cs="Times New Roman"/>
          <w:i/>
          <w:iCs/>
          <w:sz w:val="24"/>
          <w:szCs w:val="24"/>
          <w:lang w:val="en-US"/>
        </w:rPr>
        <w:t xml:space="preserve"> oleifera</w:t>
      </w:r>
      <w:r>
        <w:rPr>
          <w:rFonts w:ascii="Times New Roman" w:hAnsi="Times New Roman" w:cs="Times New Roman"/>
          <w:i/>
          <w:iCs/>
          <w:sz w:val="24"/>
          <w:szCs w:val="24"/>
        </w:rPr>
        <w:t xml:space="preserve"> </w:t>
      </w:r>
      <w:r>
        <w:rPr>
          <w:rFonts w:ascii="Times New Roman" w:hAnsi="Times New Roman" w:cs="Times New Roman"/>
          <w:sz w:val="24"/>
          <w:szCs w:val="24"/>
        </w:rPr>
        <w:t>is a shrub plant, an angiosperm, dicot and perennial. It is also called drumstick tree, horseradish tree or Ben tree,</w:t>
      </w:r>
      <w:r>
        <w:rPr>
          <w:rFonts w:ascii="Times New Roman" w:hAnsi="Times New Roman" w:cs="Times New Roman"/>
          <w:i/>
          <w:iCs/>
          <w:sz w:val="24"/>
          <w:szCs w:val="24"/>
        </w:rPr>
        <w:t xml:space="preserve"> Moringa</w:t>
      </w:r>
      <w:r>
        <w:rPr>
          <w:rFonts w:ascii="Times New Roman" w:hAnsi="Times New Roman" w:cs="Times New Roman"/>
          <w:i/>
          <w:iCs/>
          <w:sz w:val="24"/>
          <w:szCs w:val="24"/>
          <w:lang w:val="en-US"/>
        </w:rPr>
        <w:t xml:space="preserve"> ol</w:t>
      </w:r>
      <w:r>
        <w:rPr>
          <w:rFonts w:ascii="Times New Roman" w:hAnsi="Times New Roman" w:cs="Times New Roman"/>
          <w:i/>
          <w:iCs/>
          <w:sz w:val="24"/>
          <w:szCs w:val="24"/>
        </w:rPr>
        <w:t xml:space="preserve"> </w:t>
      </w:r>
      <w:r>
        <w:rPr>
          <w:rFonts w:ascii="Times New Roman" w:hAnsi="Times New Roman" w:cs="Times New Roman"/>
          <w:sz w:val="24"/>
          <w:szCs w:val="24"/>
        </w:rPr>
        <w:t>has been proven to be useful sources of food, medicinal products, fuelwood, renewable polymer products, animal and aquaculture feeds(</w:t>
      </w:r>
      <w:r>
        <w:rPr>
          <w:rFonts w:hint="default" w:ascii="Times New Roman" w:hAnsi="Times New Roman" w:eastAsia="SimSun" w:cs="Times New Roman"/>
          <w:sz w:val="24"/>
          <w:szCs w:val="24"/>
        </w:rPr>
        <w:t xml:space="preserve">Lawal </w:t>
      </w:r>
      <w:r>
        <w:rPr>
          <w:rFonts w:hint="default" w:ascii="Times New Roman" w:hAnsi="Times New Roman" w:eastAsia="SimSun" w:cs="Times New Roman"/>
          <w:i/>
          <w:iCs/>
          <w:sz w:val="24"/>
          <w:szCs w:val="24"/>
        </w:rPr>
        <w:t>et al</w:t>
      </w:r>
      <w:r>
        <w:rPr>
          <w:rFonts w:hint="default" w:ascii="Times New Roman" w:hAnsi="Times New Roman" w:eastAsia="SimSun" w:cs="Times New Roman"/>
          <w:sz w:val="24"/>
          <w:szCs w:val="24"/>
        </w:rPr>
        <w:t>., 2015</w:t>
      </w:r>
      <w:r>
        <w:rPr>
          <w:rFonts w:ascii="Times New Roman" w:hAnsi="Times New Roman" w:cs="Times New Roman"/>
          <w:sz w:val="24"/>
          <w:szCs w:val="24"/>
        </w:rPr>
        <w:t>). In Nigeria, it is locally used as tonic and aphrodisiac, and in the treatment of intestinal worms and asthma. various parts of the tree are used therapeutically, including for treatment of rheumatism, venomous bites, and as cardiac and circulatory stimulants, cholera, scurvy, respiratory ailments, tumours and they are also applied externally to cure inflammatory swellings. Juice extracted from the leaves has antibacterial and antimalarial properties (</w:t>
      </w:r>
      <w:r>
        <w:rPr>
          <w:rFonts w:hint="default" w:ascii="Times New Roman" w:hAnsi="Times New Roman" w:eastAsia="SimSun" w:cs="Times New Roman"/>
          <w:sz w:val="24"/>
          <w:szCs w:val="24"/>
        </w:rPr>
        <w:t xml:space="preserve">Lawal </w:t>
      </w:r>
      <w:r>
        <w:rPr>
          <w:rFonts w:hint="default" w:ascii="Times New Roman" w:hAnsi="Times New Roman" w:eastAsia="SimSun" w:cs="Times New Roman"/>
          <w:i/>
          <w:iCs/>
          <w:sz w:val="24"/>
          <w:szCs w:val="24"/>
        </w:rPr>
        <w:t>et al</w:t>
      </w:r>
      <w:r>
        <w:rPr>
          <w:rFonts w:hint="default" w:ascii="Times New Roman" w:hAnsi="Times New Roman" w:eastAsia="SimSun" w:cs="Times New Roman"/>
          <w:sz w:val="24"/>
          <w:szCs w:val="24"/>
        </w:rPr>
        <w:t>., 2015</w:t>
      </w:r>
      <w:r>
        <w:rPr>
          <w:rFonts w:ascii="Times New Roman" w:hAnsi="Times New Roman" w:cs="Times New Roman"/>
          <w:bCs/>
          <w:sz w:val="24"/>
          <w:szCs w:val="24"/>
        </w:rPr>
        <w:t>)</w:t>
      </w:r>
      <w:r>
        <w:rPr>
          <w:rFonts w:ascii="Times New Roman" w:hAnsi="Times New Roman" w:cs="Times New Roman"/>
          <w:sz w:val="24"/>
          <w:szCs w:val="24"/>
        </w:rPr>
        <w:t xml:space="preserve">. Anti-plasmodium properties of the cysteine protease inhibitor from crude extract of </w:t>
      </w:r>
      <w:r>
        <w:rPr>
          <w:rFonts w:ascii="Times New Roman" w:hAnsi="Times New Roman" w:cs="Times New Roman"/>
          <w:i/>
          <w:iCs/>
          <w:sz w:val="24"/>
          <w:szCs w:val="24"/>
          <w:lang w:val="en-GB"/>
        </w:rPr>
        <w:t xml:space="preserve">Moringa oleifera </w:t>
      </w:r>
      <w:r>
        <w:rPr>
          <w:rFonts w:ascii="Times New Roman" w:hAnsi="Times New Roman" w:cs="Times New Roman"/>
          <w:iCs/>
          <w:sz w:val="24"/>
          <w:szCs w:val="24"/>
          <w:lang w:val="en-GB"/>
        </w:rPr>
        <w:t>seed is reported.</w:t>
      </w:r>
    </w:p>
    <w:p>
      <w:pPr>
        <w:pStyle w:val="6"/>
        <w:rPr>
          <w:rFonts w:ascii="Times New Roman" w:hAnsi="Times New Roman" w:cs="Times New Roman"/>
        </w:rPr>
      </w:pPr>
    </w:p>
    <w:p>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sz w:val="24"/>
          <w:szCs w:val="24"/>
        </w:rPr>
        <w:t>Method:</w:t>
      </w:r>
      <w:r>
        <w:rPr>
          <w:rFonts w:ascii="Times New Roman" w:hAnsi="Times New Roman" w:cs="Times New Roman"/>
          <w:sz w:val="24"/>
          <w:szCs w:val="24"/>
        </w:rPr>
        <w:t xml:space="preserve">    </w:t>
      </w:r>
    </w:p>
    <w:p>
      <w:pPr>
        <w:autoSpaceDE w:val="0"/>
        <w:autoSpaceDN w:val="0"/>
        <w:adjustRightInd w:val="0"/>
        <w:spacing w:line="24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Plant Material:</w:t>
      </w:r>
      <w:r>
        <w:rPr>
          <w:rFonts w:ascii="Times New Roman" w:hAnsi="Times New Roman" w:cs="Times New Roman"/>
          <w:sz w:val="24"/>
          <w:szCs w:val="24"/>
          <w:lang w:val="en-GB"/>
        </w:rPr>
        <w:t xml:space="preserve">The plants was collected and identified in the Department of Biolological Sciences,F.U.T.,Minna. Seeds, of </w:t>
      </w:r>
      <w:r>
        <w:rPr>
          <w:rFonts w:ascii="Times New Roman" w:hAnsi="Times New Roman" w:cs="Times New Roman"/>
          <w:i/>
          <w:sz w:val="24"/>
          <w:szCs w:val="24"/>
          <w:lang w:val="en-GB"/>
        </w:rPr>
        <w:t>M.oleifera</w:t>
      </w:r>
      <w:r>
        <w:rPr>
          <w:rFonts w:ascii="Times New Roman" w:hAnsi="Times New Roman" w:cs="Times New Roman"/>
          <w:sz w:val="24"/>
          <w:szCs w:val="24"/>
          <w:lang w:val="en-GB"/>
        </w:rPr>
        <w:t xml:space="preserve"> was   used for the study.</w:t>
      </w:r>
    </w:p>
    <w:p>
      <w:pPr>
        <w:autoSpaceDE w:val="0"/>
        <w:autoSpaceDN w:val="0"/>
        <w:adjustRightInd w:val="0"/>
        <w:spacing w:line="240" w:lineRule="auto"/>
        <w:jc w:val="both"/>
        <w:rPr>
          <w:rFonts w:ascii="Times New Roman" w:hAnsi="Times New Roman" w:cs="Times New Roman"/>
          <w:sz w:val="24"/>
          <w:szCs w:val="24"/>
        </w:rPr>
      </w:pPr>
    </w:p>
    <w:p>
      <w:pPr>
        <w:autoSpaceDE w:val="0"/>
        <w:autoSpaceDN w:val="0"/>
        <w:adjustRightInd w:val="0"/>
        <w:spacing w:line="24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Animals:</w:t>
      </w:r>
      <w:r>
        <w:rPr>
          <w:rFonts w:ascii="Times New Roman" w:hAnsi="Times New Roman" w:cs="Times New Roman"/>
          <w:sz w:val="24"/>
          <w:szCs w:val="24"/>
          <w:lang w:val="en-GB"/>
        </w:rPr>
        <w:t xml:space="preserve"> Swiss albino mice of either sexes, ages  4-6 weeks old and weighing  20-25 g each were used.</w:t>
      </w:r>
    </w:p>
    <w:p>
      <w:pPr>
        <w:autoSpaceDE w:val="0"/>
        <w:autoSpaceDN w:val="0"/>
        <w:adjustRightInd w:val="0"/>
        <w:spacing w:line="240" w:lineRule="auto"/>
        <w:jc w:val="both"/>
        <w:rPr>
          <w:rFonts w:ascii="Times New Roman" w:hAnsi="Times New Roman" w:cs="Times New Roman"/>
          <w:sz w:val="24"/>
          <w:szCs w:val="24"/>
        </w:rPr>
      </w:pPr>
    </w:p>
    <w:p>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Extraction  of Phytocystatin:  </w:t>
      </w:r>
    </w:p>
    <w:p>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Twenty five(25g) of seeds of  </w:t>
      </w:r>
      <w:r>
        <w:rPr>
          <w:rFonts w:ascii="Times New Roman" w:hAnsi="Times New Roman" w:cs="Times New Roman"/>
          <w:i/>
          <w:sz w:val="24"/>
          <w:szCs w:val="24"/>
        </w:rPr>
        <w:t>Moringa oleifera</w:t>
      </w:r>
      <w:r>
        <w:rPr>
          <w:rFonts w:ascii="Times New Roman" w:hAnsi="Times New Roman" w:cs="Times New Roman"/>
          <w:sz w:val="24"/>
          <w:szCs w:val="24"/>
        </w:rPr>
        <w:t xml:space="preserve"> were blended with 100 mL of phosphate buffer 0.1 M (pH 7). The clear supernatant obtained  after homogenisation and centrifugation(10,000 rpm, 15 min, 4</w:t>
      </w:r>
      <w:r>
        <w:rPr>
          <w:rFonts w:ascii="Times New Roman" w:hAnsi="Times New Roman" w:cs="Times New Roman"/>
          <w:sz w:val="24"/>
          <w:szCs w:val="24"/>
          <w:vertAlign w:val="superscript"/>
        </w:rPr>
        <w:t>0</w:t>
      </w:r>
      <w:r>
        <w:rPr>
          <w:rFonts w:ascii="Times New Roman" w:hAnsi="Times New Roman" w:cs="Times New Roman"/>
          <w:sz w:val="24"/>
          <w:szCs w:val="24"/>
        </w:rPr>
        <w:t>C) was precipitated by cold acetone. This was designated as the crude acetone extract of phytocystatin.( Rao,</w:t>
      </w:r>
      <w:r>
        <w:rPr>
          <w:rFonts w:ascii="Times New Roman" w:hAnsi="Times New Roman" w:cs="Times New Roman"/>
          <w:i/>
          <w:sz w:val="24"/>
          <w:szCs w:val="24"/>
        </w:rPr>
        <w:t xml:space="preserve"> et al,</w:t>
      </w:r>
      <w:r>
        <w:rPr>
          <w:rFonts w:ascii="Times New Roman" w:hAnsi="Times New Roman" w:cs="Times New Roman"/>
          <w:sz w:val="24"/>
          <w:szCs w:val="24"/>
        </w:rPr>
        <w:t>1983)</w:t>
      </w:r>
    </w:p>
    <w:p>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Phytocystatin assay:</w:t>
      </w:r>
    </w:p>
    <w:p>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Protease inhibitor activity was  assayed according to the method of (Wannapa,2006). Benzyl arginine  para nitroaniline(</w:t>
      </w:r>
      <w:r>
        <w:rPr>
          <w:rFonts w:ascii="Times New Roman" w:hAnsi="Times New Roman" w:eastAsia="GulliverRM" w:cs="Times New Roman"/>
          <w:sz w:val="24"/>
          <w:szCs w:val="24"/>
        </w:rPr>
        <w:t xml:space="preserve"> BApNA) assays was  performed by adding 290µL of 50mM Tris–HCl (pH 7.6) and 200µL of 1.25mM BApNA solution to the  previoustly peincubated cysteine protease enzyme (papain) and crude inhibitor  extract for 10min. at 25</w:t>
      </w:r>
      <w:r>
        <w:rPr>
          <w:rFonts w:ascii="Times New Roman" w:hAnsi="Times New Roman" w:eastAsia="GulliverRM" w:cs="Times New Roman"/>
          <w:sz w:val="24"/>
          <w:szCs w:val="24"/>
          <w:vertAlign w:val="superscript"/>
        </w:rPr>
        <w:t xml:space="preserve">0 </w:t>
      </w:r>
      <w:r>
        <w:rPr>
          <w:rFonts w:ascii="Times New Roman" w:hAnsi="Times New Roman" w:eastAsia="GulliverRM" w:cs="Times New Roman"/>
          <w:sz w:val="24"/>
          <w:szCs w:val="24"/>
        </w:rPr>
        <w:t>c. After 30 min at 37</w:t>
      </w:r>
      <w:r>
        <w:rPr>
          <w:rFonts w:ascii="Times New Roman" w:hAnsi="Times New Roman" w:eastAsia="GulliverRM" w:cs="Times New Roman"/>
          <w:sz w:val="24"/>
          <w:szCs w:val="24"/>
          <w:vertAlign w:val="superscript"/>
        </w:rPr>
        <w:t>0</w:t>
      </w:r>
      <w:r>
        <w:rPr>
          <w:rFonts w:ascii="Times New Roman" w:hAnsi="Times New Roman" w:eastAsia="GulliverRM" w:cs="Times New Roman"/>
          <w:sz w:val="24"/>
          <w:szCs w:val="24"/>
        </w:rPr>
        <w:t>c , the reaction was stopped by adding 150µL of acetic acid (30%). The resulting color was measured by absorbance at 405nm.</w:t>
      </w:r>
      <w:r>
        <w:rPr>
          <w:rFonts w:ascii="Times New Roman" w:hAnsi="Times New Roman" w:cs="Times New Roman"/>
          <w:sz w:val="24"/>
          <w:szCs w:val="24"/>
        </w:rPr>
        <w:t>percent inhibitory activity calculated compare to control.</w:t>
      </w:r>
    </w:p>
    <w:p>
      <w:pPr>
        <w:autoSpaceDE w:val="0"/>
        <w:autoSpaceDN w:val="0"/>
        <w:adjustRightInd w:val="0"/>
        <w:spacing w:line="240" w:lineRule="auto"/>
        <w:jc w:val="both"/>
        <w:rPr>
          <w:rFonts w:ascii="Times New Roman" w:hAnsi="Times New Roman" w:cs="Times New Roman"/>
          <w:sz w:val="24"/>
          <w:szCs w:val="24"/>
        </w:rPr>
      </w:pPr>
    </w:p>
    <w:p>
      <w:pPr>
        <w:autoSpaceDE w:val="0"/>
        <w:autoSpaceDN w:val="0"/>
        <w:adjustRightInd w:val="0"/>
        <w:spacing w:line="240" w:lineRule="auto"/>
        <w:jc w:val="both"/>
        <w:rPr>
          <w:rFonts w:ascii="Times New Roman" w:hAnsi="Times New Roman" w:cs="Times New Roman"/>
          <w:sz w:val="24"/>
          <w:szCs w:val="24"/>
        </w:rPr>
      </w:pPr>
    </w:p>
    <w:p>
      <w:pPr>
        <w:spacing w:line="360" w:lineRule="auto"/>
        <w:ind w:left="-5" w:right="-15" w:hanging="10"/>
        <w:rPr>
          <w:rFonts w:ascii="Times New Roman" w:hAnsi="Times New Roman" w:cs="Times New Roman"/>
          <w:sz w:val="24"/>
          <w:szCs w:val="24"/>
        </w:rPr>
      </w:pPr>
      <w:r>
        <w:rPr>
          <w:rFonts w:ascii="Times New Roman" w:hAnsi="Times New Roman" w:eastAsia="Arial" w:cs="Times New Roman"/>
          <w:b/>
          <w:sz w:val="24"/>
          <w:szCs w:val="24"/>
        </w:rPr>
        <w:t xml:space="preserve">Animals </w:t>
      </w:r>
    </w:p>
    <w:p>
      <w:pPr>
        <w:spacing w:line="360" w:lineRule="auto"/>
        <w:rPr>
          <w:rFonts w:ascii="Times New Roman" w:hAnsi="Times New Roman" w:cs="Times New Roman"/>
          <w:sz w:val="24"/>
          <w:szCs w:val="24"/>
        </w:rPr>
      </w:pPr>
      <w:r>
        <w:rPr>
          <w:rFonts w:ascii="Times New Roman" w:hAnsi="Times New Roman" w:eastAsia="Arial" w:cs="Times New Roman"/>
          <w:sz w:val="24"/>
          <w:szCs w:val="24"/>
        </w:rPr>
        <w:t xml:space="preserve"> Mice (25-30 g) obtained from Veterinary Physiology and Pharmacology Department, Ahmadu Bello University,Zaria were used in the study. The mice were fed with grower’s mash, water </w:t>
      </w:r>
      <w:r>
        <w:rPr>
          <w:rFonts w:ascii="Times New Roman" w:hAnsi="Times New Roman" w:eastAsia="Arial" w:cs="Times New Roman"/>
          <w:i/>
          <w:sz w:val="24"/>
          <w:szCs w:val="24"/>
        </w:rPr>
        <w:t xml:space="preserve">ad libitum </w:t>
      </w:r>
      <w:r>
        <w:rPr>
          <w:rFonts w:ascii="Times New Roman" w:hAnsi="Times New Roman" w:eastAsia="Arial" w:cs="Times New Roman"/>
          <w:sz w:val="24"/>
          <w:szCs w:val="24"/>
        </w:rPr>
        <w:t xml:space="preserve">and maintained under laboratory condition.. All experiments were performed according to the “Principles of Laboratory Animal Care” (NIH Publication No. 85; rev. 1985). </w:t>
      </w:r>
    </w:p>
    <w:p>
      <w:pPr>
        <w:spacing w:line="360" w:lineRule="auto"/>
        <w:ind w:right="5071"/>
        <w:rPr>
          <w:rFonts w:ascii="Times New Roman" w:hAnsi="Times New Roman" w:cs="Times New Roman"/>
          <w:sz w:val="24"/>
          <w:szCs w:val="24"/>
        </w:rPr>
      </w:pPr>
      <w:r>
        <w:rPr>
          <w:rFonts w:ascii="Times New Roman" w:hAnsi="Times New Roman" w:eastAsia="Arial" w:cs="Times New Roman"/>
          <w:b/>
          <w:sz w:val="24"/>
          <w:szCs w:val="24"/>
        </w:rPr>
        <w:t xml:space="preserve">  </w:t>
      </w:r>
    </w:p>
    <w:p>
      <w:pPr>
        <w:spacing w:line="360" w:lineRule="auto"/>
        <w:ind w:left="-5" w:right="-15" w:hanging="10"/>
        <w:rPr>
          <w:rFonts w:ascii="Times New Roman" w:hAnsi="Times New Roman" w:cs="Times New Roman"/>
          <w:sz w:val="24"/>
          <w:szCs w:val="24"/>
        </w:rPr>
      </w:pPr>
      <w:r>
        <w:rPr>
          <w:rFonts w:ascii="Times New Roman" w:hAnsi="Times New Roman" w:eastAsia="Arial" w:cs="Times New Roman"/>
          <w:b/>
          <w:sz w:val="24"/>
          <w:szCs w:val="24"/>
        </w:rPr>
        <w:t>Acute toxicity (LD</w:t>
      </w:r>
      <w:r>
        <w:rPr>
          <w:rFonts w:ascii="Times New Roman" w:hAnsi="Times New Roman" w:eastAsia="Arial" w:cs="Times New Roman"/>
          <w:b/>
          <w:sz w:val="24"/>
          <w:szCs w:val="24"/>
          <w:vertAlign w:val="subscript"/>
        </w:rPr>
        <w:t>50</w:t>
      </w:r>
      <w:r>
        <w:rPr>
          <w:rFonts w:ascii="Times New Roman" w:hAnsi="Times New Roman" w:eastAsia="Arial" w:cs="Times New Roman"/>
          <w:b/>
          <w:sz w:val="24"/>
          <w:szCs w:val="24"/>
        </w:rPr>
        <w:t xml:space="preserve">) study </w:t>
      </w:r>
    </w:p>
    <w:p>
      <w:pPr>
        <w:spacing w:line="360" w:lineRule="auto"/>
        <w:rPr>
          <w:rFonts w:ascii="Times New Roman" w:hAnsi="Times New Roman" w:eastAsia="Arial" w:cs="Times New Roman"/>
          <w:sz w:val="24"/>
          <w:szCs w:val="24"/>
        </w:rPr>
      </w:pPr>
      <w:r>
        <w:rPr>
          <w:rFonts w:ascii="Times New Roman" w:hAnsi="Times New Roman" w:eastAsia="Arial" w:cs="Times New Roman"/>
          <w:sz w:val="24"/>
          <w:szCs w:val="24"/>
        </w:rPr>
        <w:t xml:space="preserve"> Acute toxicity study was carried out using the method decribed by Lorke (1983). Briefly this study was carried out in 2 phases. In the first phase, nine mice randomly divided into three groups of three animals each were  orally administer with the extract at 10, 100 and 1000 mg /kg body weight respectively. In the second phase, three mice were each, administered with the extract at 1600, 2900 and 5000 mg /kg body weight, respectively. At each phase, mice were observed for signs of adverse effects which may include restlessness and mortality for 24 h and subsequently for 14 days.</w:t>
      </w:r>
    </w:p>
    <w:p>
      <w:pPr>
        <w:spacing w:line="360" w:lineRule="auto"/>
        <w:ind w:left="-5" w:hanging="10"/>
        <w:jc w:val="both"/>
        <w:rPr>
          <w:rFonts w:ascii="Times New Roman" w:hAnsi="Times New Roman" w:eastAsia="Arial" w:cs="Times New Roman"/>
          <w:b/>
          <w:sz w:val="24"/>
          <w:szCs w:val="24"/>
        </w:rPr>
      </w:pPr>
    </w:p>
    <w:p>
      <w:pPr>
        <w:spacing w:line="360" w:lineRule="auto"/>
        <w:ind w:left="-5" w:right="-15" w:hanging="10"/>
        <w:rPr>
          <w:rFonts w:ascii="Times New Roman" w:hAnsi="Times New Roman" w:cs="Times New Roman"/>
          <w:sz w:val="24"/>
          <w:szCs w:val="24"/>
        </w:rPr>
      </w:pPr>
      <w:r>
        <w:rPr>
          <w:rFonts w:ascii="Times New Roman" w:hAnsi="Times New Roman" w:eastAsia="Arial" w:cs="Times New Roman"/>
          <w:b/>
          <w:sz w:val="24"/>
          <w:szCs w:val="24"/>
        </w:rPr>
        <w:t xml:space="preserve">Plasmodium inoculation </w:t>
      </w:r>
    </w:p>
    <w:p>
      <w:pPr>
        <w:spacing w:line="360" w:lineRule="auto"/>
        <w:ind w:left="-5" w:hanging="10"/>
        <w:jc w:val="both"/>
        <w:rPr>
          <w:rFonts w:ascii="Times New Roman" w:hAnsi="Times New Roman" w:cs="Times New Roman"/>
          <w:sz w:val="24"/>
          <w:szCs w:val="24"/>
        </w:rPr>
      </w:pPr>
      <w:r>
        <w:rPr>
          <w:rFonts w:ascii="Times New Roman" w:hAnsi="Times New Roman" w:eastAsia="Arial" w:cs="Times New Roman"/>
          <w:i/>
          <w:sz w:val="24"/>
          <w:szCs w:val="24"/>
        </w:rPr>
        <w:t xml:space="preserve">Plasmodium berghei </w:t>
      </w:r>
      <w:r>
        <w:rPr>
          <w:rFonts w:ascii="Times New Roman" w:hAnsi="Times New Roman" w:eastAsia="Arial" w:cs="Times New Roman"/>
          <w:sz w:val="24"/>
          <w:szCs w:val="24"/>
        </w:rPr>
        <w:t>Nk 65 strain obtained from the N</w:t>
      </w:r>
      <w:r>
        <w:rPr>
          <w:rFonts w:hint="default" w:ascii="Times New Roman" w:hAnsi="Times New Roman" w:eastAsia="Arial" w:cs="Times New Roman"/>
          <w:sz w:val="24"/>
          <w:szCs w:val="24"/>
          <w:lang w:val="en-US"/>
        </w:rPr>
        <w:t>ational Pharmaceutical Research</w:t>
      </w:r>
      <w:r>
        <w:rPr>
          <w:rFonts w:ascii="Times New Roman" w:hAnsi="Times New Roman" w:eastAsia="Arial" w:cs="Times New Roman"/>
          <w:sz w:val="24"/>
          <w:szCs w:val="24"/>
        </w:rPr>
        <w:t xml:space="preserve"> Institute , </w:t>
      </w:r>
      <w:r>
        <w:rPr>
          <w:rFonts w:hint="default" w:ascii="Times New Roman" w:hAnsi="Times New Roman" w:eastAsia="Arial" w:cs="Times New Roman"/>
          <w:sz w:val="24"/>
          <w:szCs w:val="24"/>
          <w:lang w:val="en-US"/>
        </w:rPr>
        <w:t>Abuja</w:t>
      </w:r>
      <w:r>
        <w:rPr>
          <w:rFonts w:ascii="Times New Roman" w:hAnsi="Times New Roman" w:eastAsia="Arial" w:cs="Times New Roman"/>
          <w:sz w:val="24"/>
          <w:szCs w:val="24"/>
        </w:rPr>
        <w:t xml:space="preserve">, Nigeria was used for the study. The organism maintained by serial passage in mice was inoculated into the donor mice. A heavily infected blood sample from donor mice was diluted with physiological saline to obtain inocula. Healthy mice (I - V) of 5 animals each were then inoculated with 0.2 ml of the diluted blood sample.  </w:t>
      </w:r>
    </w:p>
    <w:p>
      <w:pPr>
        <w:spacing w:line="360" w:lineRule="auto"/>
        <w:ind w:right="5071"/>
        <w:rPr>
          <w:rFonts w:ascii="Times New Roman" w:hAnsi="Times New Roman" w:cs="Times New Roman"/>
          <w:sz w:val="24"/>
          <w:szCs w:val="24"/>
        </w:rPr>
      </w:pPr>
      <w:r>
        <w:rPr>
          <w:rFonts w:ascii="Times New Roman" w:hAnsi="Times New Roman" w:eastAsia="Arial" w:cs="Times New Roman"/>
          <w:b/>
          <w:sz w:val="24"/>
          <w:szCs w:val="24"/>
        </w:rPr>
        <w:t xml:space="preserve">  </w:t>
      </w:r>
    </w:p>
    <w:p>
      <w:pPr>
        <w:spacing w:line="360" w:lineRule="auto"/>
        <w:ind w:left="-5" w:right="-15" w:hanging="10"/>
        <w:rPr>
          <w:rFonts w:ascii="Times New Roman" w:hAnsi="Times New Roman" w:cs="Times New Roman"/>
          <w:sz w:val="24"/>
          <w:szCs w:val="24"/>
        </w:rPr>
      </w:pPr>
      <w:r>
        <w:rPr>
          <w:rFonts w:ascii="Times New Roman" w:hAnsi="Times New Roman" w:eastAsia="Arial" w:cs="Times New Roman"/>
          <w:b/>
          <w:sz w:val="24"/>
          <w:szCs w:val="24"/>
        </w:rPr>
        <w:t xml:space="preserve">Administration of the extract </w:t>
      </w:r>
    </w:p>
    <w:p>
      <w:pPr>
        <w:spacing w:line="360" w:lineRule="auto"/>
        <w:ind w:left="-5" w:hanging="10"/>
        <w:jc w:val="both"/>
        <w:rPr>
          <w:rFonts w:ascii="Times New Roman" w:hAnsi="Times New Roman" w:cs="Times New Roman"/>
          <w:sz w:val="24"/>
          <w:szCs w:val="24"/>
        </w:rPr>
      </w:pPr>
      <w:r>
        <w:rPr>
          <w:rFonts w:ascii="Times New Roman" w:hAnsi="Times New Roman" w:eastAsia="Arial" w:cs="Times New Roman"/>
          <w:sz w:val="24"/>
          <w:szCs w:val="24"/>
        </w:rPr>
        <w:t xml:space="preserve">Group I animals were given </w:t>
      </w:r>
      <w:r>
        <w:rPr>
          <w:rFonts w:hint="default" w:ascii="Times New Roman" w:hAnsi="Times New Roman" w:eastAsia="Arial" w:cs="Times New Roman"/>
          <w:sz w:val="24"/>
          <w:szCs w:val="24"/>
          <w:lang w:val="en-US"/>
        </w:rPr>
        <w:t>5</w:t>
      </w:r>
      <w:r>
        <w:rPr>
          <w:rFonts w:ascii="Times New Roman" w:hAnsi="Times New Roman" w:eastAsia="Arial" w:cs="Times New Roman"/>
          <w:sz w:val="24"/>
          <w:szCs w:val="24"/>
        </w:rPr>
        <w:t>00 mg extract/kg  body weight 24 h post parasite inoculation</w:t>
      </w:r>
      <w:r>
        <w:rPr>
          <w:rFonts w:ascii="Times New Roman" w:hAnsi="Times New Roman" w:eastAsia="Arial" w:cs="Times New Roman"/>
          <w:b/>
          <w:sz w:val="24"/>
          <w:szCs w:val="24"/>
        </w:rPr>
        <w:t xml:space="preserve">, </w:t>
      </w:r>
      <w:r>
        <w:rPr>
          <w:rFonts w:ascii="Times New Roman" w:hAnsi="Times New Roman" w:eastAsia="Arial" w:cs="Times New Roman"/>
          <w:sz w:val="24"/>
          <w:szCs w:val="24"/>
        </w:rPr>
        <w:t>group II mice were given</w:t>
      </w:r>
      <w:r>
        <w:rPr>
          <w:rFonts w:hint="default" w:ascii="Times New Roman" w:hAnsi="Times New Roman" w:eastAsia="Arial" w:cs="Times New Roman"/>
          <w:sz w:val="24"/>
          <w:szCs w:val="24"/>
          <w:lang w:val="en-US"/>
        </w:rPr>
        <w:t>5</w:t>
      </w:r>
      <w:r>
        <w:rPr>
          <w:rFonts w:ascii="Times New Roman" w:hAnsi="Times New Roman" w:eastAsia="Arial" w:cs="Times New Roman"/>
          <w:sz w:val="24"/>
          <w:szCs w:val="24"/>
        </w:rPr>
        <w:t xml:space="preserve">00 mg extract/kg  body weight 48 h post parasite inoculation. Group III mice received </w:t>
      </w:r>
      <w:r>
        <w:rPr>
          <w:rFonts w:hint="default" w:ascii="Times New Roman" w:hAnsi="Times New Roman" w:eastAsia="Arial" w:cs="Times New Roman"/>
          <w:sz w:val="24"/>
          <w:szCs w:val="24"/>
          <w:lang w:val="en-US"/>
        </w:rPr>
        <w:t>5</w:t>
      </w:r>
      <w:r>
        <w:rPr>
          <w:rFonts w:ascii="Times New Roman" w:hAnsi="Times New Roman" w:eastAsia="Arial" w:cs="Times New Roman"/>
          <w:sz w:val="24"/>
          <w:szCs w:val="24"/>
        </w:rPr>
        <w:t xml:space="preserve">00 mg extract/kg body weight at establishment of infection while groups IV and V mice served as the negative and positive control respectively and were not treated with the extract. Treatment was daily for </w:t>
      </w:r>
      <w:r>
        <w:rPr>
          <w:rFonts w:hint="default" w:ascii="Times New Roman" w:hAnsi="Times New Roman" w:eastAsia="Arial" w:cs="Times New Roman"/>
          <w:sz w:val="24"/>
          <w:szCs w:val="24"/>
          <w:lang w:val="en-US"/>
        </w:rPr>
        <w:t>4</w:t>
      </w:r>
      <w:r>
        <w:rPr>
          <w:rFonts w:ascii="Times New Roman" w:hAnsi="Times New Roman" w:eastAsia="Arial" w:cs="Times New Roman"/>
          <w:sz w:val="24"/>
          <w:szCs w:val="24"/>
        </w:rPr>
        <w:t xml:space="preserve"> consecutive days. </w:t>
      </w:r>
      <w:r>
        <w:rPr>
          <w:rFonts w:ascii="Times New Roman" w:hAnsi="Times New Roman" w:eastAsia="Arial" w:cs="Times New Roman"/>
          <w:b/>
          <w:sz w:val="24"/>
          <w:szCs w:val="24"/>
        </w:rPr>
        <w:t xml:space="preserve"> </w:t>
      </w:r>
    </w:p>
    <w:p>
      <w:pPr>
        <w:spacing w:line="360" w:lineRule="auto"/>
        <w:ind w:right="5071"/>
        <w:rPr>
          <w:rFonts w:ascii="Times New Roman" w:hAnsi="Times New Roman" w:cs="Times New Roman"/>
          <w:sz w:val="24"/>
          <w:szCs w:val="24"/>
        </w:rPr>
      </w:pPr>
      <w:r>
        <w:rPr>
          <w:rFonts w:ascii="Times New Roman" w:hAnsi="Times New Roman" w:eastAsia="Arial" w:cs="Times New Roman"/>
          <w:b/>
          <w:sz w:val="24"/>
          <w:szCs w:val="24"/>
        </w:rPr>
        <w:t xml:space="preserve">  </w:t>
      </w:r>
    </w:p>
    <w:p>
      <w:pPr>
        <w:spacing w:line="360" w:lineRule="auto"/>
        <w:ind w:left="-5" w:right="-15" w:hanging="10"/>
        <w:rPr>
          <w:rFonts w:ascii="Times New Roman" w:hAnsi="Times New Roman" w:cs="Times New Roman"/>
          <w:sz w:val="24"/>
          <w:szCs w:val="24"/>
        </w:rPr>
      </w:pPr>
      <w:r>
        <w:rPr>
          <w:rFonts w:ascii="Times New Roman" w:hAnsi="Times New Roman" w:eastAsia="Arial" w:cs="Times New Roman"/>
          <w:b/>
          <w:sz w:val="24"/>
          <w:szCs w:val="24"/>
        </w:rPr>
        <w:t>Therapeutic monitoring of extract</w:t>
      </w:r>
      <w:r>
        <w:rPr>
          <w:rFonts w:ascii="Times New Roman" w:hAnsi="Times New Roman" w:eastAsia="Arial" w:cs="Times New Roman"/>
          <w:sz w:val="24"/>
          <w:szCs w:val="24"/>
        </w:rPr>
        <w:t xml:space="preserve"> </w:t>
      </w:r>
    </w:p>
    <w:p>
      <w:pPr>
        <w:spacing w:line="360" w:lineRule="auto"/>
        <w:ind w:left="-5" w:hanging="10"/>
        <w:jc w:val="both"/>
        <w:rPr>
          <w:rFonts w:ascii="Times New Roman" w:hAnsi="Times New Roman" w:cs="Times New Roman"/>
          <w:sz w:val="24"/>
          <w:szCs w:val="24"/>
        </w:rPr>
      </w:pPr>
      <w:r>
        <w:rPr>
          <w:rFonts w:ascii="Times New Roman" w:hAnsi="Times New Roman" w:eastAsia="Arial" w:cs="Times New Roman"/>
          <w:sz w:val="24"/>
          <w:szCs w:val="24"/>
        </w:rPr>
        <w:t xml:space="preserve">Development of Parasitaemia in these mice was checked daily by wet blood film prepared from tail blood at x40 magnification. The number of parasite seen per field under the microscope was counted as described by </w:t>
      </w:r>
      <w:r>
        <w:rPr>
          <w:rFonts w:hint="default" w:ascii="Times New Roman" w:hAnsi="Times New Roman" w:eastAsia="Arial" w:cs="Times New Roman"/>
          <w:sz w:val="24"/>
          <w:szCs w:val="24"/>
          <w:lang w:val="en-US"/>
        </w:rPr>
        <w:t>Peters</w:t>
      </w:r>
      <w:r>
        <w:rPr>
          <w:rFonts w:ascii="Times New Roman" w:hAnsi="Times New Roman" w:eastAsia="Arial" w:cs="Times New Roman"/>
          <w:sz w:val="24"/>
          <w:szCs w:val="24"/>
        </w:rPr>
        <w:t xml:space="preserve"> (196</w:t>
      </w:r>
      <w:r>
        <w:rPr>
          <w:rFonts w:hint="default" w:ascii="Times New Roman" w:hAnsi="Times New Roman" w:eastAsia="Arial" w:cs="Times New Roman"/>
          <w:sz w:val="24"/>
          <w:szCs w:val="24"/>
          <w:lang w:val="en-US"/>
        </w:rPr>
        <w:t>5</w:t>
      </w:r>
      <w:r>
        <w:rPr>
          <w:rFonts w:ascii="Times New Roman" w:hAnsi="Times New Roman" w:eastAsia="Arial" w:cs="Times New Roman"/>
          <w:sz w:val="24"/>
          <w:szCs w:val="24"/>
        </w:rPr>
        <w:t xml:space="preserve">). Total plasma Proteins and albumin concentrations were measured biuret and bromocresol green methods (Tietz, 1976), respectively on days 5 and 10 post treatment .The plasma globulin concentration was calculated as the difference between total protein and albumin concentrations. The determination of the Free Fatty Acids levels was carried out as described by Koichi (1977). Packed Cell Volume (Kelly, 1977), </w:t>
      </w:r>
    </w:p>
    <w:p>
      <w:pPr>
        <w:spacing w:line="360" w:lineRule="auto"/>
        <w:jc w:val="center"/>
        <w:rPr>
          <w:rFonts w:ascii="Times New Roman" w:hAnsi="Times New Roman" w:cs="Times New Roman"/>
          <w:sz w:val="24"/>
          <w:szCs w:val="24"/>
        </w:rPr>
      </w:pPr>
    </w:p>
    <w:p>
      <w:pPr>
        <w:spacing w:line="360" w:lineRule="auto"/>
        <w:ind w:left="-5" w:right="-15" w:hanging="10"/>
        <w:rPr>
          <w:rFonts w:ascii="Times New Roman" w:hAnsi="Times New Roman" w:cs="Times New Roman"/>
          <w:sz w:val="24"/>
          <w:szCs w:val="24"/>
        </w:rPr>
      </w:pPr>
      <w:r>
        <w:rPr>
          <w:rFonts w:ascii="Times New Roman" w:hAnsi="Times New Roman" w:eastAsia="Arial" w:cs="Times New Roman"/>
          <w:b/>
          <w:sz w:val="24"/>
          <w:szCs w:val="24"/>
        </w:rPr>
        <w:t xml:space="preserve">Statistical analysis </w:t>
      </w:r>
    </w:p>
    <w:p>
      <w:pPr>
        <w:spacing w:line="360" w:lineRule="auto"/>
        <w:rPr>
          <w:rFonts w:ascii="Times New Roman" w:hAnsi="Times New Roman" w:eastAsia="Arial" w:cs="Times New Roman"/>
          <w:sz w:val="24"/>
          <w:szCs w:val="24"/>
        </w:rPr>
      </w:pPr>
      <w:r>
        <w:rPr>
          <w:rFonts w:ascii="Times New Roman" w:hAnsi="Times New Roman" w:eastAsia="Arial" w:cs="Times New Roman"/>
          <w:sz w:val="24"/>
          <w:szCs w:val="24"/>
        </w:rPr>
        <w:t xml:space="preserve"> Results were expressed as mean ± SEM. All parameters were analyzed statistically using Student t-test. P value of &lt; 0.05 was considered statistically significant.</w:t>
      </w:r>
    </w:p>
    <w:p>
      <w:pPr>
        <w:spacing w:line="360" w:lineRule="auto"/>
        <w:rPr>
          <w:rFonts w:ascii="Times New Roman" w:hAnsi="Times New Roman" w:eastAsia="Arial" w:cs="Times New Roman"/>
          <w:sz w:val="24"/>
          <w:szCs w:val="24"/>
        </w:rPr>
      </w:pPr>
    </w:p>
    <w:p>
      <w:pPr>
        <w:spacing w:line="360" w:lineRule="auto"/>
        <w:ind w:left="-5" w:right="-15" w:hanging="10"/>
        <w:jc w:val="both"/>
        <w:rPr>
          <w:rFonts w:ascii="Times New Roman" w:hAnsi="Times New Roman" w:cs="Times New Roman"/>
          <w:sz w:val="24"/>
          <w:szCs w:val="24"/>
        </w:rPr>
      </w:pPr>
      <w:r>
        <w:rPr>
          <w:rFonts w:ascii="Times New Roman" w:hAnsi="Times New Roman" w:eastAsia="Arial" w:cs="Times New Roman"/>
          <w:b/>
          <w:sz w:val="24"/>
          <w:szCs w:val="24"/>
        </w:rPr>
        <w:t xml:space="preserve">RESULTS AND DISCUSSION </w:t>
      </w:r>
    </w:p>
    <w:p>
      <w:pPr>
        <w:spacing w:line="360" w:lineRule="auto"/>
        <w:ind w:left="-5" w:right="-15" w:hanging="10"/>
        <w:jc w:val="both"/>
        <w:rPr>
          <w:rFonts w:ascii="Times New Roman" w:hAnsi="Times New Roman" w:cs="Times New Roman"/>
          <w:sz w:val="24"/>
          <w:szCs w:val="24"/>
        </w:rPr>
      </w:pPr>
      <w:r>
        <w:rPr>
          <w:rFonts w:ascii="Times New Roman" w:hAnsi="Times New Roman" w:eastAsia="Arial" w:cs="Times New Roman"/>
          <w:b/>
          <w:sz w:val="24"/>
          <w:szCs w:val="24"/>
        </w:rPr>
        <w:t xml:space="preserve">Acute toxicity </w:t>
      </w:r>
    </w:p>
    <w:p>
      <w:pPr>
        <w:spacing w:line="360" w:lineRule="auto"/>
        <w:ind w:left="-5" w:hanging="10"/>
        <w:jc w:val="both"/>
        <w:rPr>
          <w:rFonts w:ascii="Times New Roman" w:hAnsi="Times New Roman" w:cs="Times New Roman"/>
          <w:sz w:val="24"/>
          <w:szCs w:val="24"/>
        </w:rPr>
      </w:pPr>
      <w:r>
        <w:rPr>
          <w:rFonts w:ascii="Times New Roman" w:hAnsi="Times New Roman" w:eastAsia="Arial" w:cs="Times New Roman"/>
          <w:sz w:val="24"/>
          <w:szCs w:val="24"/>
        </w:rPr>
        <w:t>No death was observed from the animals at all the doses used. The animals gained weight throughout the study duration. The only behavioral signs of toxicity observed in the mice at dose of 5000 mg /kg body weight of the extract in the course of the study were restlessness, inflammation on the mouth and nose. The oral LD</w:t>
      </w:r>
      <w:r>
        <w:rPr>
          <w:rFonts w:ascii="Times New Roman" w:hAnsi="Times New Roman" w:eastAsia="Arial" w:cs="Times New Roman"/>
          <w:sz w:val="24"/>
          <w:szCs w:val="24"/>
          <w:vertAlign w:val="subscript"/>
        </w:rPr>
        <w:t>50</w:t>
      </w:r>
      <w:r>
        <w:rPr>
          <w:rFonts w:ascii="Times New Roman" w:hAnsi="Times New Roman" w:eastAsia="Arial" w:cs="Times New Roman"/>
          <w:sz w:val="24"/>
          <w:szCs w:val="24"/>
        </w:rPr>
        <w:t xml:space="preserve"> was therefore greater than 5000 mg/kg body weight.  </w:t>
      </w:r>
    </w:p>
    <w:p>
      <w:pPr>
        <w:spacing w:line="360" w:lineRule="auto"/>
        <w:rPr>
          <w:rFonts w:ascii="Times New Roman" w:hAnsi="Times New Roman" w:eastAsia="Arial" w:cs="Times New Roman"/>
          <w:b/>
          <w:sz w:val="24"/>
          <w:szCs w:val="24"/>
        </w:rPr>
      </w:pPr>
    </w:p>
    <w:p>
      <w:pPr>
        <w:spacing w:line="360" w:lineRule="auto"/>
        <w:rPr>
          <w:rFonts w:ascii="Times New Roman" w:hAnsi="Times New Roman" w:eastAsia="Arial" w:cs="Times New Roman"/>
          <w:b/>
          <w:sz w:val="24"/>
          <w:szCs w:val="24"/>
        </w:rPr>
      </w:pPr>
      <w:r>
        <w:rPr>
          <w:rFonts w:ascii="Times New Roman" w:hAnsi="Times New Roman" w:eastAsia="Arial" w:cs="Times New Roman"/>
          <w:b/>
          <w:sz w:val="24"/>
          <w:szCs w:val="24"/>
        </w:rPr>
        <w:t xml:space="preserve"> Anti-plasmodial study </w:t>
      </w:r>
    </w:p>
    <w:p>
      <w:pPr>
        <w:spacing w:line="240" w:lineRule="auto"/>
        <w:rPr>
          <w:rFonts w:ascii="Times New Roman" w:hAnsi="Times New Roman" w:eastAsia="Arial" w:cs="Times New Roman"/>
          <w:b/>
          <w:sz w:val="17"/>
        </w:rPr>
      </w:pPr>
    </w:p>
    <w:p>
      <w:pPr>
        <w:spacing w:line="240" w:lineRule="auto"/>
        <w:rPr>
          <w:rFonts w:ascii="Times New Roman" w:hAnsi="Times New Roman" w:cs="Times New Roman"/>
          <w:sz w:val="24"/>
          <w:szCs w:val="24"/>
        </w:rPr>
      </w:pPr>
      <w:r>
        <w:rPr>
          <w:rFonts w:ascii="Times New Roman" w:hAnsi="Times New Roman" w:eastAsia="Arial" w:cs="Times New Roman"/>
          <w:b/>
          <w:sz w:val="24"/>
          <w:szCs w:val="24"/>
        </w:rPr>
        <w:t>Table 1</w:t>
      </w:r>
      <w:r>
        <w:rPr>
          <w:rFonts w:ascii="Times New Roman" w:hAnsi="Times New Roman" w:eastAsia="Arial" w:cs="Times New Roman"/>
          <w:sz w:val="24"/>
          <w:szCs w:val="24"/>
        </w:rPr>
        <w:t xml:space="preserve">. Effect of </w:t>
      </w:r>
      <w:r>
        <w:rPr>
          <w:rFonts w:hint="default" w:ascii="Times New Roman" w:hAnsi="Times New Roman" w:eastAsia="Arial" w:cs="Times New Roman"/>
          <w:sz w:val="24"/>
          <w:szCs w:val="24"/>
          <w:lang w:val="en-US"/>
        </w:rPr>
        <w:t xml:space="preserve"> crude Phytocystatin  </w:t>
      </w:r>
      <w:r>
        <w:rPr>
          <w:rFonts w:ascii="Times New Roman" w:hAnsi="Times New Roman" w:eastAsia="Arial" w:cs="Times New Roman"/>
          <w:sz w:val="24"/>
          <w:szCs w:val="24"/>
        </w:rPr>
        <w:t>Extract</w:t>
      </w:r>
      <w:r>
        <w:rPr>
          <w:rFonts w:hint="default" w:ascii="Times New Roman" w:hAnsi="Times New Roman" w:eastAsia="Arial" w:cs="Times New Roman"/>
          <w:sz w:val="24"/>
          <w:szCs w:val="24"/>
          <w:lang w:val="en-US"/>
        </w:rPr>
        <w:t xml:space="preserve"> from </w:t>
      </w:r>
      <w:r>
        <w:rPr>
          <w:rFonts w:hint="default" w:ascii="Times New Roman" w:hAnsi="Times New Roman" w:eastAsia="Arial" w:cs="Times New Roman"/>
          <w:i/>
          <w:iCs/>
          <w:sz w:val="24"/>
          <w:szCs w:val="24"/>
          <w:lang w:val="en-US"/>
        </w:rPr>
        <w:t>Moringa oleifera</w:t>
      </w:r>
      <w:r>
        <w:rPr>
          <w:rFonts w:hint="default" w:ascii="Times New Roman" w:hAnsi="Times New Roman" w:eastAsia="Arial" w:cs="Times New Roman"/>
          <w:sz w:val="24"/>
          <w:szCs w:val="24"/>
          <w:lang w:val="en-US"/>
        </w:rPr>
        <w:t xml:space="preserve"> Leaf</w:t>
      </w:r>
      <w:r>
        <w:rPr>
          <w:rFonts w:ascii="Times New Roman" w:hAnsi="Times New Roman" w:eastAsia="Arial" w:cs="Times New Roman"/>
          <w:sz w:val="24"/>
          <w:szCs w:val="24"/>
        </w:rPr>
        <w:t xml:space="preserve"> on </w:t>
      </w:r>
      <w:r>
        <w:rPr>
          <w:rFonts w:hint="default" w:ascii="Times New Roman" w:hAnsi="Times New Roman" w:eastAsia="Arial" w:cs="Times New Roman"/>
          <w:sz w:val="24"/>
          <w:szCs w:val="24"/>
          <w:lang w:val="en-US"/>
        </w:rPr>
        <w:t>P</w:t>
      </w:r>
      <w:r>
        <w:rPr>
          <w:rFonts w:ascii="Times New Roman" w:hAnsi="Times New Roman" w:eastAsia="Arial" w:cs="Times New Roman"/>
          <w:sz w:val="24"/>
          <w:szCs w:val="24"/>
        </w:rPr>
        <w:t>arasite count in mice infected with</w:t>
      </w:r>
      <w:r>
        <w:rPr>
          <w:rFonts w:ascii="Times New Roman" w:hAnsi="Times New Roman" w:eastAsia="Arial" w:cs="Times New Roman"/>
          <w:i/>
          <w:sz w:val="24"/>
          <w:szCs w:val="24"/>
        </w:rPr>
        <w:t xml:space="preserve"> Plasmodium berghei</w:t>
      </w:r>
    </w:p>
    <w:p>
      <w:pPr>
        <w:ind w:left="1260"/>
      </w:pPr>
      <w:r>
        <w:rPr>
          <w:rFonts w:ascii="Arial" w:hAnsi="Arial" w:eastAsia="Arial" w:cs="Arial"/>
          <w:sz w:val="17"/>
        </w:rPr>
        <w:t xml:space="preserve"> </w:t>
      </w:r>
    </w:p>
    <w:tbl>
      <w:tblPr>
        <w:tblStyle w:val="7"/>
        <w:tblW w:w="9324" w:type="dxa"/>
        <w:tblInd w:w="0" w:type="dxa"/>
        <w:tblLayout w:type="autofit"/>
        <w:tblCellMar>
          <w:top w:w="0" w:type="dxa"/>
          <w:left w:w="108" w:type="dxa"/>
          <w:bottom w:w="0" w:type="dxa"/>
          <w:right w:w="115" w:type="dxa"/>
        </w:tblCellMar>
      </w:tblPr>
      <w:tblGrid>
        <w:gridCol w:w="1242"/>
        <w:gridCol w:w="1725"/>
        <w:gridCol w:w="1800"/>
        <w:gridCol w:w="1800"/>
        <w:gridCol w:w="1620"/>
        <w:gridCol w:w="1137"/>
      </w:tblGrid>
      <w:tr>
        <w:tblPrEx>
          <w:tblCellMar>
            <w:top w:w="0" w:type="dxa"/>
            <w:left w:w="108" w:type="dxa"/>
            <w:bottom w:w="0" w:type="dxa"/>
            <w:right w:w="115" w:type="dxa"/>
          </w:tblCellMar>
        </w:tblPrEx>
        <w:trPr>
          <w:trHeight w:val="292" w:hRule="atLeast"/>
        </w:trPr>
        <w:tc>
          <w:tcPr>
            <w:tcW w:w="1242"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sz w:val="24"/>
                <w:szCs w:val="24"/>
              </w:rPr>
            </w:pPr>
          </w:p>
        </w:tc>
        <w:tc>
          <w:tcPr>
            <w:tcW w:w="1725"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b/>
                <w:sz w:val="24"/>
                <w:szCs w:val="24"/>
              </w:rPr>
              <w:t xml:space="preserve">Group I </w:t>
            </w:r>
          </w:p>
        </w:tc>
        <w:tc>
          <w:tcPr>
            <w:tcW w:w="180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b/>
                <w:sz w:val="24"/>
                <w:szCs w:val="24"/>
              </w:rPr>
              <w:t xml:space="preserve">Group II </w:t>
            </w:r>
          </w:p>
        </w:tc>
        <w:tc>
          <w:tcPr>
            <w:tcW w:w="180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b/>
                <w:sz w:val="24"/>
                <w:szCs w:val="24"/>
              </w:rPr>
              <w:t xml:space="preserve">Group III </w:t>
            </w:r>
          </w:p>
        </w:tc>
        <w:tc>
          <w:tcPr>
            <w:tcW w:w="162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b/>
                <w:sz w:val="24"/>
                <w:szCs w:val="24"/>
              </w:rPr>
              <w:t xml:space="preserve">Group IV </w:t>
            </w:r>
          </w:p>
        </w:tc>
        <w:tc>
          <w:tcPr>
            <w:tcW w:w="1137"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b/>
                <w:sz w:val="24"/>
                <w:szCs w:val="24"/>
              </w:rPr>
              <w:t xml:space="preserve">Group V </w:t>
            </w:r>
          </w:p>
        </w:tc>
      </w:tr>
      <w:tr>
        <w:tblPrEx>
          <w:tblCellMar>
            <w:top w:w="0" w:type="dxa"/>
            <w:left w:w="108" w:type="dxa"/>
            <w:bottom w:w="0" w:type="dxa"/>
            <w:right w:w="115" w:type="dxa"/>
          </w:tblCellMar>
        </w:tblPrEx>
        <w:trPr>
          <w:trHeight w:val="276" w:hRule="atLeast"/>
        </w:trPr>
        <w:tc>
          <w:tcPr>
            <w:tcW w:w="1242"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 xml:space="preserve">Day 5 </w:t>
            </w:r>
          </w:p>
        </w:tc>
        <w:tc>
          <w:tcPr>
            <w:tcW w:w="1725"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4.37±1.42*</w:t>
            </w:r>
          </w:p>
        </w:tc>
        <w:tc>
          <w:tcPr>
            <w:tcW w:w="1800"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 xml:space="preserve">4.17±1.42* </w:t>
            </w:r>
          </w:p>
        </w:tc>
        <w:tc>
          <w:tcPr>
            <w:tcW w:w="1800"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 xml:space="preserve">12.40±2.31* </w:t>
            </w:r>
          </w:p>
        </w:tc>
        <w:tc>
          <w:tcPr>
            <w:tcW w:w="1620"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 xml:space="preserve">22.75±6.56 </w:t>
            </w:r>
          </w:p>
        </w:tc>
        <w:tc>
          <w:tcPr>
            <w:tcW w:w="1137"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 xml:space="preserve">0 </w:t>
            </w:r>
          </w:p>
        </w:tc>
      </w:tr>
      <w:tr>
        <w:tblPrEx>
          <w:tblCellMar>
            <w:top w:w="0" w:type="dxa"/>
            <w:left w:w="108" w:type="dxa"/>
            <w:bottom w:w="0" w:type="dxa"/>
            <w:right w:w="115" w:type="dxa"/>
          </w:tblCellMar>
        </w:tblPrEx>
        <w:trPr>
          <w:trHeight w:val="275" w:hRule="atLeast"/>
        </w:trPr>
        <w:tc>
          <w:tcPr>
            <w:tcW w:w="1242"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 xml:space="preserve">Day 6 </w:t>
            </w:r>
          </w:p>
        </w:tc>
        <w:tc>
          <w:tcPr>
            <w:tcW w:w="1725"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 xml:space="preserve">80.95±0.00* </w:t>
            </w:r>
          </w:p>
        </w:tc>
        <w:tc>
          <w:tcPr>
            <w:tcW w:w="1800" w:type="dxa"/>
            <w:tcBorders>
              <w:top w:val="nil"/>
              <w:left w:val="single" w:color="000000" w:sz="6" w:space="0"/>
              <w:bottom w:val="nil"/>
              <w:right w:val="single" w:color="000000" w:sz="6" w:space="0"/>
            </w:tcBorders>
          </w:tcPr>
          <w:p>
            <w:pPr>
              <w:ind w:left="70"/>
              <w:rPr>
                <w:rFonts w:ascii="Times New Roman" w:hAnsi="Times New Roman" w:cs="Times New Roman"/>
                <w:sz w:val="24"/>
                <w:szCs w:val="24"/>
              </w:rPr>
            </w:pPr>
            <w:r>
              <w:rPr>
                <w:rFonts w:ascii="Times New Roman" w:hAnsi="Times New Roman" w:eastAsia="Arial" w:cs="Times New Roman"/>
                <w:sz w:val="24"/>
                <w:szCs w:val="24"/>
              </w:rPr>
              <w:t xml:space="preserve">128.15±20.09 </w:t>
            </w:r>
          </w:p>
        </w:tc>
        <w:tc>
          <w:tcPr>
            <w:tcW w:w="1800" w:type="dxa"/>
            <w:tcBorders>
              <w:top w:val="nil"/>
              <w:left w:val="single" w:color="000000" w:sz="6" w:space="0"/>
              <w:bottom w:val="nil"/>
              <w:right w:val="single" w:color="000000" w:sz="6" w:space="0"/>
            </w:tcBorders>
          </w:tcPr>
          <w:p>
            <w:pPr>
              <w:rPr>
                <w:rFonts w:ascii="Times New Roman" w:hAnsi="Times New Roman" w:cs="Times New Roman"/>
                <w:sz w:val="24"/>
                <w:szCs w:val="24"/>
              </w:rPr>
            </w:pPr>
            <w:r>
              <w:rPr>
                <w:rFonts w:ascii="Times New Roman" w:hAnsi="Times New Roman" w:eastAsia="Arial" w:cs="Times New Roman"/>
                <w:sz w:val="24"/>
                <w:szCs w:val="24"/>
              </w:rPr>
              <w:t xml:space="preserve">163.23±26.78* </w:t>
            </w:r>
          </w:p>
        </w:tc>
        <w:tc>
          <w:tcPr>
            <w:tcW w:w="1620" w:type="dxa"/>
            <w:tcBorders>
              <w:top w:val="nil"/>
              <w:left w:val="single" w:color="000000" w:sz="6" w:space="0"/>
              <w:bottom w:val="nil"/>
              <w:right w:val="single" w:color="000000" w:sz="6" w:space="0"/>
            </w:tcBorders>
          </w:tcPr>
          <w:p>
            <w:pPr>
              <w:ind w:left="50"/>
              <w:rPr>
                <w:rFonts w:ascii="Times New Roman" w:hAnsi="Times New Roman" w:cs="Times New Roman"/>
                <w:sz w:val="24"/>
                <w:szCs w:val="24"/>
              </w:rPr>
            </w:pPr>
            <w:r>
              <w:rPr>
                <w:rFonts w:ascii="Times New Roman" w:hAnsi="Times New Roman" w:eastAsia="Arial" w:cs="Times New Roman"/>
                <w:sz w:val="24"/>
                <w:szCs w:val="24"/>
              </w:rPr>
              <w:t xml:space="preserve">132.95±13.15 </w:t>
            </w:r>
          </w:p>
        </w:tc>
        <w:tc>
          <w:tcPr>
            <w:tcW w:w="1137"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 xml:space="preserve">0 </w:t>
            </w:r>
          </w:p>
        </w:tc>
      </w:tr>
      <w:tr>
        <w:tblPrEx>
          <w:tblCellMar>
            <w:top w:w="0" w:type="dxa"/>
            <w:left w:w="108" w:type="dxa"/>
            <w:bottom w:w="0" w:type="dxa"/>
            <w:right w:w="115" w:type="dxa"/>
          </w:tblCellMar>
        </w:tblPrEx>
        <w:trPr>
          <w:trHeight w:val="275" w:hRule="atLeast"/>
        </w:trPr>
        <w:tc>
          <w:tcPr>
            <w:tcW w:w="1242"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 xml:space="preserve">Day 7 </w:t>
            </w:r>
          </w:p>
        </w:tc>
        <w:tc>
          <w:tcPr>
            <w:tcW w:w="1725" w:type="dxa"/>
            <w:tcBorders>
              <w:top w:val="nil"/>
              <w:left w:val="single" w:color="000000" w:sz="6" w:space="0"/>
              <w:bottom w:val="nil"/>
              <w:right w:val="single" w:color="000000" w:sz="6" w:space="0"/>
            </w:tcBorders>
          </w:tcPr>
          <w:p>
            <w:pPr>
              <w:rPr>
                <w:rFonts w:ascii="Times New Roman" w:hAnsi="Times New Roman" w:cs="Times New Roman"/>
                <w:sz w:val="24"/>
                <w:szCs w:val="24"/>
              </w:rPr>
            </w:pPr>
            <w:r>
              <w:rPr>
                <w:rFonts w:ascii="Times New Roman" w:hAnsi="Times New Roman" w:eastAsia="Arial" w:cs="Times New Roman"/>
                <w:sz w:val="24"/>
                <w:szCs w:val="24"/>
              </w:rPr>
              <w:t xml:space="preserve">  90.80±4.85*</w:t>
            </w:r>
          </w:p>
        </w:tc>
        <w:tc>
          <w:tcPr>
            <w:tcW w:w="1800" w:type="dxa"/>
            <w:tcBorders>
              <w:top w:val="nil"/>
              <w:left w:val="single" w:color="000000" w:sz="6" w:space="0"/>
              <w:bottom w:val="nil"/>
              <w:right w:val="single" w:color="000000" w:sz="6" w:space="0"/>
            </w:tcBorders>
          </w:tcPr>
          <w:p>
            <w:pPr>
              <w:rPr>
                <w:rFonts w:ascii="Times New Roman" w:hAnsi="Times New Roman" w:cs="Times New Roman"/>
                <w:sz w:val="24"/>
                <w:szCs w:val="24"/>
              </w:rPr>
            </w:pPr>
            <w:r>
              <w:rPr>
                <w:rFonts w:ascii="Times New Roman" w:hAnsi="Times New Roman" w:eastAsia="Arial" w:cs="Times New Roman"/>
                <w:sz w:val="24"/>
                <w:szCs w:val="24"/>
              </w:rPr>
              <w:t>157.45±16.12*</w:t>
            </w:r>
          </w:p>
        </w:tc>
        <w:tc>
          <w:tcPr>
            <w:tcW w:w="1800" w:type="dxa"/>
            <w:tcBorders>
              <w:top w:val="nil"/>
              <w:left w:val="single" w:color="000000" w:sz="6" w:space="0"/>
              <w:bottom w:val="nil"/>
              <w:right w:val="single" w:color="000000" w:sz="6" w:space="0"/>
            </w:tcBorders>
          </w:tcPr>
          <w:p>
            <w:pPr>
              <w:rPr>
                <w:rFonts w:ascii="Times New Roman" w:hAnsi="Times New Roman" w:cs="Times New Roman"/>
                <w:sz w:val="24"/>
                <w:szCs w:val="24"/>
              </w:rPr>
            </w:pPr>
            <w:r>
              <w:rPr>
                <w:rFonts w:ascii="Times New Roman" w:hAnsi="Times New Roman" w:eastAsia="Arial" w:cs="Times New Roman"/>
                <w:sz w:val="24"/>
                <w:szCs w:val="24"/>
              </w:rPr>
              <w:t xml:space="preserve">205.29±13.16* </w:t>
            </w:r>
          </w:p>
        </w:tc>
        <w:tc>
          <w:tcPr>
            <w:tcW w:w="1620"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 xml:space="preserve">260.13±6.71 </w:t>
            </w:r>
          </w:p>
        </w:tc>
        <w:tc>
          <w:tcPr>
            <w:tcW w:w="1137"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 xml:space="preserve">0 </w:t>
            </w:r>
          </w:p>
        </w:tc>
      </w:tr>
      <w:tr>
        <w:tblPrEx>
          <w:tblCellMar>
            <w:top w:w="0" w:type="dxa"/>
            <w:left w:w="108" w:type="dxa"/>
            <w:bottom w:w="0" w:type="dxa"/>
            <w:right w:w="115" w:type="dxa"/>
          </w:tblCellMar>
        </w:tblPrEx>
        <w:trPr>
          <w:trHeight w:val="276" w:hRule="atLeast"/>
        </w:trPr>
        <w:tc>
          <w:tcPr>
            <w:tcW w:w="1242"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 xml:space="preserve">Day 8 </w:t>
            </w:r>
          </w:p>
        </w:tc>
        <w:tc>
          <w:tcPr>
            <w:tcW w:w="1725" w:type="dxa"/>
            <w:tcBorders>
              <w:top w:val="nil"/>
              <w:left w:val="single" w:color="000000" w:sz="6" w:space="0"/>
              <w:bottom w:val="nil"/>
              <w:right w:val="single" w:color="000000" w:sz="6" w:space="0"/>
            </w:tcBorders>
          </w:tcPr>
          <w:p>
            <w:pPr>
              <w:ind w:left="50"/>
              <w:rPr>
                <w:rFonts w:ascii="Times New Roman" w:hAnsi="Times New Roman" w:cs="Times New Roman"/>
                <w:sz w:val="24"/>
                <w:szCs w:val="24"/>
              </w:rPr>
            </w:pPr>
            <w:r>
              <w:rPr>
                <w:rFonts w:ascii="Times New Roman" w:hAnsi="Times New Roman" w:eastAsia="Arial" w:cs="Times New Roman"/>
                <w:sz w:val="24"/>
                <w:szCs w:val="24"/>
              </w:rPr>
              <w:t xml:space="preserve">137.74±8.08* </w:t>
            </w:r>
          </w:p>
        </w:tc>
        <w:tc>
          <w:tcPr>
            <w:tcW w:w="1800"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98.45±7.96*</w:t>
            </w:r>
          </w:p>
        </w:tc>
        <w:tc>
          <w:tcPr>
            <w:tcW w:w="1800" w:type="dxa"/>
            <w:tcBorders>
              <w:top w:val="nil"/>
              <w:left w:val="single" w:color="000000" w:sz="6" w:space="0"/>
              <w:bottom w:val="nil"/>
              <w:right w:val="single" w:color="000000" w:sz="6" w:space="0"/>
            </w:tcBorders>
          </w:tcPr>
          <w:p>
            <w:pPr>
              <w:ind w:left="50"/>
              <w:rPr>
                <w:rFonts w:ascii="Times New Roman" w:hAnsi="Times New Roman" w:cs="Times New Roman"/>
                <w:sz w:val="24"/>
                <w:szCs w:val="24"/>
              </w:rPr>
            </w:pPr>
            <w:r>
              <w:rPr>
                <w:rFonts w:ascii="Times New Roman" w:hAnsi="Times New Roman" w:eastAsia="Arial" w:cs="Times New Roman"/>
                <w:sz w:val="24"/>
                <w:szCs w:val="24"/>
              </w:rPr>
              <w:t>183.19±6.67*</w:t>
            </w:r>
          </w:p>
        </w:tc>
        <w:tc>
          <w:tcPr>
            <w:tcW w:w="1620" w:type="dxa"/>
            <w:tcBorders>
              <w:top w:val="nil"/>
              <w:left w:val="single" w:color="000000" w:sz="6" w:space="0"/>
              <w:bottom w:val="nil"/>
              <w:right w:val="single" w:color="000000" w:sz="6" w:space="0"/>
            </w:tcBorders>
          </w:tcPr>
          <w:p>
            <w:pPr>
              <w:ind w:left="50"/>
              <w:rPr>
                <w:rFonts w:ascii="Times New Roman" w:hAnsi="Times New Roman" w:cs="Times New Roman"/>
                <w:sz w:val="24"/>
                <w:szCs w:val="24"/>
              </w:rPr>
            </w:pPr>
            <w:r>
              <w:rPr>
                <w:rFonts w:ascii="Times New Roman" w:hAnsi="Times New Roman" w:eastAsia="Arial" w:cs="Times New Roman"/>
                <w:sz w:val="24"/>
                <w:szCs w:val="24"/>
              </w:rPr>
              <w:t xml:space="preserve">343.85±13.32 </w:t>
            </w:r>
          </w:p>
        </w:tc>
        <w:tc>
          <w:tcPr>
            <w:tcW w:w="1137"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 xml:space="preserve">0 </w:t>
            </w:r>
          </w:p>
        </w:tc>
      </w:tr>
      <w:tr>
        <w:tblPrEx>
          <w:tblCellMar>
            <w:top w:w="0" w:type="dxa"/>
            <w:left w:w="108" w:type="dxa"/>
            <w:bottom w:w="0" w:type="dxa"/>
            <w:right w:w="115" w:type="dxa"/>
          </w:tblCellMar>
        </w:tblPrEx>
        <w:trPr>
          <w:trHeight w:val="276" w:hRule="atLeast"/>
        </w:trPr>
        <w:tc>
          <w:tcPr>
            <w:tcW w:w="1242"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 xml:space="preserve">Day 9 </w:t>
            </w:r>
          </w:p>
        </w:tc>
        <w:tc>
          <w:tcPr>
            <w:tcW w:w="1725" w:type="dxa"/>
            <w:tcBorders>
              <w:top w:val="nil"/>
              <w:left w:val="single" w:color="000000" w:sz="6" w:space="0"/>
              <w:bottom w:val="nil"/>
              <w:right w:val="single" w:color="000000" w:sz="6" w:space="0"/>
            </w:tcBorders>
          </w:tcPr>
          <w:p>
            <w:pPr>
              <w:ind w:left="50"/>
              <w:rPr>
                <w:rFonts w:ascii="Times New Roman" w:hAnsi="Times New Roman" w:cs="Times New Roman"/>
                <w:sz w:val="24"/>
                <w:szCs w:val="24"/>
              </w:rPr>
            </w:pPr>
            <w:r>
              <w:rPr>
                <w:rFonts w:ascii="Times New Roman" w:hAnsi="Times New Roman" w:eastAsia="Arial" w:cs="Times New Roman"/>
                <w:sz w:val="24"/>
                <w:szCs w:val="24"/>
              </w:rPr>
              <w:t xml:space="preserve">168.44±4.05* </w:t>
            </w:r>
          </w:p>
        </w:tc>
        <w:tc>
          <w:tcPr>
            <w:tcW w:w="1800" w:type="dxa"/>
            <w:tcBorders>
              <w:top w:val="nil"/>
              <w:left w:val="single" w:color="000000" w:sz="6" w:space="0"/>
              <w:bottom w:val="nil"/>
              <w:right w:val="single" w:color="000000" w:sz="6" w:space="0"/>
            </w:tcBorders>
          </w:tcPr>
          <w:p>
            <w:pPr>
              <w:rPr>
                <w:rFonts w:ascii="Times New Roman" w:hAnsi="Times New Roman" w:cs="Times New Roman"/>
                <w:sz w:val="24"/>
                <w:szCs w:val="24"/>
              </w:rPr>
            </w:pPr>
            <w:r>
              <w:rPr>
                <w:rFonts w:ascii="Times New Roman" w:hAnsi="Times New Roman" w:eastAsia="Arial" w:cs="Times New Roman"/>
                <w:sz w:val="24"/>
                <w:szCs w:val="24"/>
              </w:rPr>
              <w:t xml:space="preserve">167.38±12.07* </w:t>
            </w:r>
          </w:p>
        </w:tc>
        <w:tc>
          <w:tcPr>
            <w:tcW w:w="1800" w:type="dxa"/>
            <w:tcBorders>
              <w:top w:val="nil"/>
              <w:left w:val="single" w:color="000000" w:sz="6" w:space="0"/>
              <w:bottom w:val="nil"/>
              <w:right w:val="single" w:color="000000" w:sz="6" w:space="0"/>
            </w:tcBorders>
          </w:tcPr>
          <w:p>
            <w:pPr>
              <w:rPr>
                <w:rFonts w:ascii="Times New Roman" w:hAnsi="Times New Roman" w:cs="Times New Roman"/>
                <w:sz w:val="24"/>
                <w:szCs w:val="24"/>
              </w:rPr>
            </w:pPr>
            <w:r>
              <w:rPr>
                <w:rFonts w:ascii="Times New Roman" w:hAnsi="Times New Roman" w:eastAsia="Arial" w:cs="Times New Roman"/>
                <w:sz w:val="24"/>
                <w:szCs w:val="24"/>
              </w:rPr>
              <w:t xml:space="preserve">211.65±11.75* </w:t>
            </w:r>
          </w:p>
        </w:tc>
        <w:tc>
          <w:tcPr>
            <w:tcW w:w="1620" w:type="dxa"/>
            <w:tcBorders>
              <w:top w:val="nil"/>
              <w:left w:val="single" w:color="000000" w:sz="6" w:space="0"/>
              <w:bottom w:val="nil"/>
              <w:right w:val="single" w:color="000000" w:sz="6" w:space="0"/>
            </w:tcBorders>
          </w:tcPr>
          <w:p>
            <w:pPr>
              <w:ind w:left="50"/>
              <w:rPr>
                <w:rFonts w:ascii="Times New Roman" w:hAnsi="Times New Roman" w:cs="Times New Roman"/>
                <w:sz w:val="24"/>
                <w:szCs w:val="24"/>
              </w:rPr>
            </w:pPr>
            <w:r>
              <w:rPr>
                <w:rFonts w:ascii="Times New Roman" w:hAnsi="Times New Roman" w:eastAsia="Arial" w:cs="Times New Roman"/>
                <w:sz w:val="24"/>
                <w:szCs w:val="24"/>
              </w:rPr>
              <w:t xml:space="preserve">452.42±13.55 </w:t>
            </w:r>
          </w:p>
        </w:tc>
        <w:tc>
          <w:tcPr>
            <w:tcW w:w="1137"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 xml:space="preserve">0 </w:t>
            </w:r>
          </w:p>
        </w:tc>
      </w:tr>
      <w:tr>
        <w:tblPrEx>
          <w:tblCellMar>
            <w:top w:w="0" w:type="dxa"/>
            <w:left w:w="108" w:type="dxa"/>
            <w:bottom w:w="0" w:type="dxa"/>
            <w:right w:w="115" w:type="dxa"/>
          </w:tblCellMar>
        </w:tblPrEx>
        <w:trPr>
          <w:trHeight w:val="276" w:hRule="atLeast"/>
        </w:trPr>
        <w:tc>
          <w:tcPr>
            <w:tcW w:w="1242"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 xml:space="preserve">Day 10 </w:t>
            </w:r>
          </w:p>
        </w:tc>
        <w:tc>
          <w:tcPr>
            <w:tcW w:w="1725" w:type="dxa"/>
            <w:tcBorders>
              <w:top w:val="nil"/>
              <w:left w:val="single" w:color="000000" w:sz="6" w:space="0"/>
              <w:bottom w:val="nil"/>
              <w:right w:val="single" w:color="000000" w:sz="6" w:space="0"/>
            </w:tcBorders>
          </w:tcPr>
          <w:p>
            <w:pPr>
              <w:rPr>
                <w:rFonts w:ascii="Times New Roman" w:hAnsi="Times New Roman" w:cs="Times New Roman"/>
                <w:sz w:val="24"/>
                <w:szCs w:val="24"/>
              </w:rPr>
            </w:pPr>
            <w:r>
              <w:rPr>
                <w:rFonts w:ascii="Times New Roman" w:hAnsi="Times New Roman" w:eastAsia="Arial" w:cs="Times New Roman"/>
                <w:sz w:val="24"/>
                <w:szCs w:val="24"/>
              </w:rPr>
              <w:t xml:space="preserve">195.94±0.00 </w:t>
            </w:r>
          </w:p>
        </w:tc>
        <w:tc>
          <w:tcPr>
            <w:tcW w:w="1800"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 xml:space="preserve">137.74±8.08 </w:t>
            </w:r>
          </w:p>
        </w:tc>
        <w:tc>
          <w:tcPr>
            <w:tcW w:w="1800" w:type="dxa"/>
            <w:tcBorders>
              <w:top w:val="nil"/>
              <w:left w:val="single" w:color="000000" w:sz="6" w:space="0"/>
              <w:bottom w:val="nil"/>
              <w:right w:val="single" w:color="000000" w:sz="6" w:space="0"/>
            </w:tcBorders>
          </w:tcPr>
          <w:p>
            <w:pPr>
              <w:ind w:left="70"/>
              <w:rPr>
                <w:rFonts w:ascii="Times New Roman" w:hAnsi="Times New Roman" w:cs="Times New Roman"/>
                <w:sz w:val="24"/>
                <w:szCs w:val="24"/>
              </w:rPr>
            </w:pPr>
            <w:r>
              <w:rPr>
                <w:rFonts w:ascii="Times New Roman" w:hAnsi="Times New Roman" w:eastAsia="Arial" w:cs="Times New Roman"/>
                <w:sz w:val="24"/>
                <w:szCs w:val="24"/>
              </w:rPr>
              <w:t xml:space="preserve">167.05±20.80 </w:t>
            </w:r>
          </w:p>
        </w:tc>
        <w:tc>
          <w:tcPr>
            <w:tcW w:w="1620"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 xml:space="preserve">0 </w:t>
            </w:r>
          </w:p>
        </w:tc>
        <w:tc>
          <w:tcPr>
            <w:tcW w:w="1137"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 xml:space="preserve">0 </w:t>
            </w:r>
          </w:p>
        </w:tc>
      </w:tr>
    </w:tbl>
    <w:p>
      <w:pPr>
        <w:spacing w:line="360" w:lineRule="auto"/>
        <w:ind w:left="-5" w:right="-15" w:hanging="10"/>
        <w:jc w:val="both"/>
        <w:rPr>
          <w:rFonts w:ascii="Times New Roman" w:hAnsi="Times New Roman" w:cs="Times New Roman"/>
          <w:sz w:val="24"/>
          <w:szCs w:val="24"/>
        </w:rPr>
      </w:pPr>
    </w:p>
    <w:p>
      <w:pPr>
        <w:spacing w:line="240" w:lineRule="auto"/>
        <w:rPr>
          <w:rFonts w:ascii="Times New Roman" w:hAnsi="Times New Roman" w:eastAsia="Arial" w:cs="Times New Roman"/>
          <w:sz w:val="24"/>
          <w:szCs w:val="24"/>
        </w:rPr>
      </w:pPr>
      <w:r>
        <w:rPr>
          <w:rFonts w:ascii="Times New Roman" w:hAnsi="Times New Roman" w:eastAsia="Arial" w:cs="Times New Roman"/>
          <w:sz w:val="24"/>
          <w:szCs w:val="24"/>
        </w:rPr>
        <w:t xml:space="preserve">           ** </w:t>
      </w:r>
      <w:r>
        <w:rPr>
          <w:rFonts w:hint="default" w:ascii="Times New Roman" w:hAnsi="Times New Roman" w:eastAsia="Arial" w:cs="Times New Roman"/>
          <w:sz w:val="24"/>
          <w:szCs w:val="24"/>
          <w:lang w:val="en-US"/>
        </w:rPr>
        <w:t xml:space="preserve"> Values s</w:t>
      </w:r>
      <w:r>
        <w:rPr>
          <w:rFonts w:ascii="Times New Roman" w:hAnsi="Times New Roman" w:eastAsia="Arial" w:cs="Times New Roman"/>
          <w:sz w:val="24"/>
          <w:szCs w:val="24"/>
        </w:rPr>
        <w:t>ignificantly different from the infected untreated control</w:t>
      </w:r>
      <w:r>
        <w:rPr>
          <w:rFonts w:hint="default" w:ascii="Times New Roman" w:hAnsi="Times New Roman" w:eastAsia="Arial" w:cs="Times New Roman"/>
          <w:sz w:val="24"/>
          <w:szCs w:val="24"/>
          <w:lang w:val="en-US"/>
        </w:rPr>
        <w:t xml:space="preserve"> group</w:t>
      </w:r>
      <w:r>
        <w:rPr>
          <w:rFonts w:ascii="Times New Roman" w:hAnsi="Times New Roman" w:eastAsia="Arial" w:cs="Times New Roman"/>
          <w:sz w:val="24"/>
          <w:szCs w:val="24"/>
        </w:rPr>
        <w:t xml:space="preserve"> (group IV) at p&lt;0.05</w:t>
      </w:r>
    </w:p>
    <w:p>
      <w:pPr>
        <w:spacing w:line="240" w:lineRule="auto"/>
        <w:ind w:left="1260"/>
        <w:rPr>
          <w:rFonts w:ascii="Arial" w:hAnsi="Arial" w:eastAsia="Arial" w:cs="Arial"/>
          <w:sz w:val="16"/>
        </w:rPr>
      </w:pPr>
    </w:p>
    <w:p>
      <w:pPr>
        <w:spacing w:line="240" w:lineRule="auto"/>
        <w:ind w:left="1260"/>
        <w:rPr>
          <w:rFonts w:ascii="Arial" w:hAnsi="Arial" w:eastAsia="Arial" w:cs="Arial"/>
          <w:sz w:val="16"/>
        </w:rPr>
      </w:pPr>
    </w:p>
    <w:p>
      <w:pPr>
        <w:spacing w:line="240" w:lineRule="auto"/>
        <w:ind w:left="1260"/>
      </w:pPr>
      <w:r>
        <w:rPr>
          <w:rFonts w:ascii="Arial" w:hAnsi="Arial" w:eastAsia="Arial" w:cs="Arial"/>
          <w:sz w:val="16"/>
        </w:rPr>
        <w:t xml:space="preserve"> </w:t>
      </w:r>
    </w:p>
    <w:p>
      <w:pPr>
        <w:spacing w:line="240" w:lineRule="auto"/>
        <w:ind w:left="720"/>
      </w:pPr>
      <w:r>
        <w:rPr>
          <w:rFonts w:ascii="Times New Roman" w:hAnsi="Times New Roman" w:eastAsia="Arial" w:cs="Times New Roman"/>
          <w:b/>
          <w:sz w:val="24"/>
          <w:szCs w:val="24"/>
        </w:rPr>
        <w:t>Table 2</w:t>
      </w:r>
      <w:r>
        <w:rPr>
          <w:rFonts w:ascii="Times New Roman" w:hAnsi="Times New Roman" w:eastAsia="Arial" w:cs="Times New Roman"/>
          <w:b/>
          <w:i/>
          <w:sz w:val="24"/>
          <w:szCs w:val="24"/>
        </w:rPr>
        <w:t>.</w:t>
      </w:r>
      <w:r>
        <w:rPr>
          <w:rFonts w:ascii="Times New Roman" w:hAnsi="Times New Roman" w:eastAsia="Arial" w:cs="Times New Roman"/>
          <w:i/>
          <w:sz w:val="24"/>
          <w:szCs w:val="24"/>
        </w:rPr>
        <w:t xml:space="preserve"> </w:t>
      </w:r>
      <w:r>
        <w:rPr>
          <w:rFonts w:ascii="Times New Roman" w:hAnsi="Times New Roman" w:eastAsia="Arial" w:cs="Times New Roman"/>
          <w:sz w:val="24"/>
          <w:szCs w:val="24"/>
        </w:rPr>
        <w:t xml:space="preserve">Base line values of some </w:t>
      </w:r>
      <w:r>
        <w:rPr>
          <w:rFonts w:hint="default" w:ascii="Times New Roman" w:hAnsi="Times New Roman" w:eastAsia="Arial" w:cs="Times New Roman"/>
          <w:sz w:val="24"/>
          <w:szCs w:val="24"/>
          <w:lang w:val="en-US"/>
        </w:rPr>
        <w:t>B</w:t>
      </w:r>
      <w:r>
        <w:rPr>
          <w:rFonts w:ascii="Times New Roman" w:hAnsi="Times New Roman" w:eastAsia="Arial" w:cs="Times New Roman"/>
          <w:sz w:val="24"/>
          <w:szCs w:val="24"/>
        </w:rPr>
        <w:t xml:space="preserve">iochemical </w:t>
      </w:r>
      <w:r>
        <w:rPr>
          <w:rFonts w:hint="default" w:ascii="Times New Roman" w:hAnsi="Times New Roman" w:eastAsia="Arial" w:cs="Times New Roman"/>
          <w:sz w:val="24"/>
          <w:szCs w:val="24"/>
          <w:lang w:val="en-US"/>
        </w:rPr>
        <w:t>P</w:t>
      </w:r>
      <w:r>
        <w:rPr>
          <w:rFonts w:ascii="Times New Roman" w:hAnsi="Times New Roman" w:eastAsia="Arial" w:cs="Times New Roman"/>
          <w:sz w:val="24"/>
          <w:szCs w:val="24"/>
        </w:rPr>
        <w:t xml:space="preserve">arameters of </w:t>
      </w:r>
      <w:r>
        <w:rPr>
          <w:rFonts w:hint="default" w:ascii="Times New Roman" w:hAnsi="Times New Roman" w:eastAsia="Arial" w:cs="Times New Roman"/>
          <w:sz w:val="24"/>
          <w:szCs w:val="24"/>
          <w:lang w:val="en-US"/>
        </w:rPr>
        <w:t>Animals</w:t>
      </w:r>
      <w:r>
        <w:rPr>
          <w:rFonts w:ascii="Times New Roman" w:hAnsi="Times New Roman" w:eastAsia="Arial" w:cs="Times New Roman"/>
          <w:sz w:val="24"/>
          <w:szCs w:val="24"/>
        </w:rPr>
        <w:t xml:space="preserve"> infected with</w:t>
      </w:r>
      <w:r>
        <w:rPr>
          <w:rFonts w:ascii="Times New Roman" w:hAnsi="Times New Roman" w:eastAsia="Arial" w:cs="Times New Roman"/>
          <w:i/>
          <w:sz w:val="24"/>
          <w:szCs w:val="24"/>
        </w:rPr>
        <w:t xml:space="preserve"> Plasmodium berghei</w:t>
      </w:r>
      <w:r>
        <w:rPr>
          <w:rFonts w:ascii="Arial" w:hAnsi="Arial" w:eastAsia="Arial" w:cs="Arial"/>
          <w:i/>
          <w:sz w:val="17"/>
        </w:rPr>
        <w:t xml:space="preserve">. </w:t>
      </w:r>
    </w:p>
    <w:p>
      <w:pPr>
        <w:spacing w:line="360" w:lineRule="auto"/>
        <w:ind w:left="-5" w:right="-15" w:hanging="10"/>
        <w:jc w:val="both"/>
        <w:rPr>
          <w:rFonts w:ascii="Times New Roman" w:hAnsi="Times New Roman" w:cs="Times New Roman"/>
          <w:sz w:val="24"/>
          <w:szCs w:val="24"/>
        </w:rPr>
      </w:pPr>
    </w:p>
    <w:tbl>
      <w:tblPr>
        <w:tblStyle w:val="7"/>
        <w:tblW w:w="9180" w:type="dxa"/>
        <w:tblInd w:w="0" w:type="dxa"/>
        <w:tblLayout w:type="autofit"/>
        <w:tblCellMar>
          <w:top w:w="0" w:type="dxa"/>
          <w:left w:w="108" w:type="dxa"/>
          <w:bottom w:w="0" w:type="dxa"/>
          <w:right w:w="115" w:type="dxa"/>
        </w:tblCellMar>
      </w:tblPr>
      <w:tblGrid>
        <w:gridCol w:w="958"/>
        <w:gridCol w:w="1644"/>
        <w:gridCol w:w="1710"/>
        <w:gridCol w:w="1710"/>
        <w:gridCol w:w="2023"/>
        <w:gridCol w:w="1135"/>
      </w:tblGrid>
      <w:tr>
        <w:tblPrEx>
          <w:tblCellMar>
            <w:top w:w="0" w:type="dxa"/>
            <w:left w:w="108" w:type="dxa"/>
            <w:bottom w:w="0" w:type="dxa"/>
            <w:right w:w="115" w:type="dxa"/>
          </w:tblCellMar>
        </w:tblPrEx>
        <w:trPr>
          <w:trHeight w:val="509" w:hRule="atLeast"/>
        </w:trPr>
        <w:tc>
          <w:tcPr>
            <w:tcW w:w="958" w:type="dxa"/>
            <w:tcBorders>
              <w:top w:val="single" w:color="000000" w:sz="6" w:space="0"/>
              <w:left w:val="single" w:color="000000" w:sz="6" w:space="0"/>
              <w:bottom w:val="single" w:color="000000" w:sz="6" w:space="0"/>
              <w:right w:val="single" w:color="000000" w:sz="6" w:space="0"/>
            </w:tcBorders>
          </w:tcPr>
          <w:p>
            <w:pPr>
              <w:ind w:left="50"/>
            </w:pPr>
            <w:r>
              <w:rPr>
                <w:rFonts w:ascii="Arial" w:hAnsi="Arial" w:eastAsia="Arial" w:cs="Arial"/>
                <w:b/>
                <w:sz w:val="18"/>
              </w:rPr>
              <w:t xml:space="preserve">Groups </w:t>
            </w:r>
          </w:p>
        </w:tc>
        <w:tc>
          <w:tcPr>
            <w:tcW w:w="1644" w:type="dxa"/>
            <w:tcBorders>
              <w:top w:val="single" w:color="000000" w:sz="6" w:space="0"/>
              <w:left w:val="single" w:color="000000" w:sz="6" w:space="0"/>
              <w:bottom w:val="single" w:color="000000" w:sz="6" w:space="0"/>
              <w:right w:val="single" w:color="000000" w:sz="6" w:space="0"/>
            </w:tcBorders>
          </w:tcPr>
          <w:p>
            <w:pPr>
              <w:jc w:val="center"/>
            </w:pPr>
            <w:r>
              <w:rPr>
                <w:rFonts w:ascii="Arial" w:hAnsi="Arial" w:eastAsia="Arial" w:cs="Arial"/>
                <w:b/>
                <w:sz w:val="18"/>
              </w:rPr>
              <w:t xml:space="preserve">Protein (mg/dL) </w:t>
            </w:r>
          </w:p>
        </w:tc>
        <w:tc>
          <w:tcPr>
            <w:tcW w:w="1710" w:type="dxa"/>
            <w:tcBorders>
              <w:top w:val="single" w:color="000000" w:sz="6" w:space="0"/>
              <w:left w:val="single" w:color="000000" w:sz="6" w:space="0"/>
              <w:bottom w:val="single" w:color="000000" w:sz="6" w:space="0"/>
              <w:right w:val="single" w:color="000000" w:sz="6" w:space="0"/>
            </w:tcBorders>
          </w:tcPr>
          <w:p>
            <w:pPr>
              <w:jc w:val="center"/>
            </w:pPr>
            <w:r>
              <w:rPr>
                <w:rFonts w:ascii="Arial" w:hAnsi="Arial" w:eastAsia="Arial" w:cs="Arial"/>
                <w:b/>
                <w:sz w:val="18"/>
              </w:rPr>
              <w:t xml:space="preserve">Albumin (mg/dL) </w:t>
            </w:r>
          </w:p>
        </w:tc>
        <w:tc>
          <w:tcPr>
            <w:tcW w:w="1710" w:type="dxa"/>
            <w:tcBorders>
              <w:top w:val="single" w:color="000000" w:sz="6" w:space="0"/>
              <w:left w:val="single" w:color="000000" w:sz="6" w:space="0"/>
              <w:bottom w:val="single" w:color="000000" w:sz="6" w:space="0"/>
              <w:right w:val="single" w:color="000000" w:sz="6" w:space="0"/>
            </w:tcBorders>
          </w:tcPr>
          <w:p>
            <w:pPr>
              <w:jc w:val="center"/>
            </w:pPr>
            <w:r>
              <w:rPr>
                <w:rFonts w:ascii="Arial" w:hAnsi="Arial" w:eastAsia="Arial" w:cs="Arial"/>
                <w:b/>
                <w:sz w:val="18"/>
              </w:rPr>
              <w:t xml:space="preserve">Globulin (mg/dl) </w:t>
            </w:r>
          </w:p>
        </w:tc>
        <w:tc>
          <w:tcPr>
            <w:tcW w:w="2023" w:type="dxa"/>
            <w:tcBorders>
              <w:top w:val="single" w:color="000000" w:sz="6" w:space="0"/>
              <w:left w:val="single" w:color="000000" w:sz="6" w:space="0"/>
              <w:bottom w:val="single" w:color="000000" w:sz="6" w:space="0"/>
              <w:right w:val="single" w:color="000000" w:sz="6" w:space="0"/>
            </w:tcBorders>
          </w:tcPr>
          <w:p>
            <w:r>
              <w:rPr>
                <w:rFonts w:ascii="Arial" w:hAnsi="Arial" w:eastAsia="Arial" w:cs="Arial"/>
                <w:b/>
                <w:sz w:val="18"/>
              </w:rPr>
              <w:t xml:space="preserve">Free fatty acid (mg/dl)  </w:t>
            </w:r>
          </w:p>
        </w:tc>
        <w:tc>
          <w:tcPr>
            <w:tcW w:w="1135" w:type="dxa"/>
            <w:tcBorders>
              <w:top w:val="single" w:color="000000" w:sz="6" w:space="0"/>
              <w:left w:val="single" w:color="000000" w:sz="6" w:space="0"/>
              <w:bottom w:val="single" w:color="000000" w:sz="6" w:space="0"/>
              <w:right w:val="single" w:color="000000" w:sz="6" w:space="0"/>
            </w:tcBorders>
          </w:tcPr>
          <w:p>
            <w:pPr>
              <w:jc w:val="center"/>
            </w:pPr>
            <w:r>
              <w:rPr>
                <w:rFonts w:ascii="Arial" w:hAnsi="Arial" w:eastAsia="Arial" w:cs="Arial"/>
                <w:b/>
                <w:sz w:val="18"/>
              </w:rPr>
              <w:t xml:space="preserve">PCV values </w:t>
            </w:r>
          </w:p>
        </w:tc>
      </w:tr>
      <w:tr>
        <w:tblPrEx>
          <w:tblCellMar>
            <w:top w:w="0" w:type="dxa"/>
            <w:left w:w="108" w:type="dxa"/>
            <w:bottom w:w="0" w:type="dxa"/>
            <w:right w:w="115" w:type="dxa"/>
          </w:tblCellMar>
        </w:tblPrEx>
        <w:trPr>
          <w:trHeight w:val="275" w:hRule="atLeast"/>
        </w:trPr>
        <w:tc>
          <w:tcPr>
            <w:tcW w:w="958" w:type="dxa"/>
            <w:tcBorders>
              <w:top w:val="single" w:color="000000" w:sz="6" w:space="0"/>
              <w:left w:val="single" w:color="000000" w:sz="6" w:space="0"/>
              <w:bottom w:val="nil"/>
              <w:right w:val="single" w:color="000000" w:sz="6" w:space="0"/>
            </w:tcBorders>
          </w:tcPr>
          <w:p>
            <w:pPr>
              <w:jc w:val="center"/>
            </w:pPr>
            <w:r>
              <w:rPr>
                <w:rFonts w:ascii="Arial" w:hAnsi="Arial" w:eastAsia="Arial" w:cs="Arial"/>
                <w:b/>
                <w:sz w:val="18"/>
              </w:rPr>
              <w:t xml:space="preserve">I </w:t>
            </w:r>
          </w:p>
        </w:tc>
        <w:tc>
          <w:tcPr>
            <w:tcW w:w="1644" w:type="dxa"/>
            <w:tcBorders>
              <w:top w:val="single" w:color="000000" w:sz="6" w:space="0"/>
              <w:left w:val="single" w:color="000000" w:sz="6" w:space="0"/>
              <w:bottom w:val="nil"/>
              <w:right w:val="single" w:color="000000" w:sz="6" w:space="0"/>
            </w:tcBorders>
          </w:tcPr>
          <w:p>
            <w:pPr>
              <w:jc w:val="center"/>
            </w:pPr>
            <w:r>
              <w:rPr>
                <w:rFonts w:ascii="Arial" w:hAnsi="Arial" w:eastAsia="Arial" w:cs="Arial"/>
                <w:sz w:val="18"/>
              </w:rPr>
              <w:t xml:space="preserve">6.90±0.06 </w:t>
            </w:r>
          </w:p>
        </w:tc>
        <w:tc>
          <w:tcPr>
            <w:tcW w:w="1710" w:type="dxa"/>
            <w:tcBorders>
              <w:top w:val="single" w:color="000000" w:sz="6" w:space="0"/>
              <w:left w:val="single" w:color="000000" w:sz="6" w:space="0"/>
              <w:bottom w:val="nil"/>
              <w:right w:val="single" w:color="000000" w:sz="6" w:space="0"/>
            </w:tcBorders>
          </w:tcPr>
          <w:p>
            <w:pPr>
              <w:jc w:val="center"/>
            </w:pPr>
            <w:r>
              <w:rPr>
                <w:rFonts w:ascii="Arial" w:hAnsi="Arial" w:eastAsia="Arial" w:cs="Arial"/>
                <w:sz w:val="18"/>
              </w:rPr>
              <w:t>4.70±0.06</w:t>
            </w:r>
          </w:p>
        </w:tc>
        <w:tc>
          <w:tcPr>
            <w:tcW w:w="1710" w:type="dxa"/>
            <w:tcBorders>
              <w:top w:val="single" w:color="000000" w:sz="6" w:space="0"/>
              <w:left w:val="single" w:color="000000" w:sz="6" w:space="0"/>
              <w:bottom w:val="nil"/>
              <w:right w:val="single" w:color="000000" w:sz="6" w:space="0"/>
            </w:tcBorders>
          </w:tcPr>
          <w:p>
            <w:pPr>
              <w:jc w:val="center"/>
            </w:pPr>
            <w:r>
              <w:rPr>
                <w:rFonts w:ascii="Arial" w:hAnsi="Arial" w:eastAsia="Arial" w:cs="Arial"/>
                <w:sz w:val="18"/>
              </w:rPr>
              <w:t xml:space="preserve">2.35±0.02 </w:t>
            </w:r>
          </w:p>
        </w:tc>
        <w:tc>
          <w:tcPr>
            <w:tcW w:w="2023" w:type="dxa"/>
            <w:tcBorders>
              <w:top w:val="single" w:color="000000" w:sz="6" w:space="0"/>
              <w:left w:val="single" w:color="000000" w:sz="6" w:space="0"/>
              <w:bottom w:val="nil"/>
              <w:right w:val="single" w:color="000000" w:sz="6" w:space="0"/>
            </w:tcBorders>
          </w:tcPr>
          <w:p>
            <w:pPr>
              <w:jc w:val="center"/>
            </w:pPr>
            <w:r>
              <w:rPr>
                <w:rFonts w:ascii="Arial" w:hAnsi="Arial" w:eastAsia="Arial" w:cs="Arial"/>
                <w:sz w:val="18"/>
              </w:rPr>
              <w:t xml:space="preserve">0.64±0.04 </w:t>
            </w:r>
          </w:p>
        </w:tc>
        <w:tc>
          <w:tcPr>
            <w:tcW w:w="1135" w:type="dxa"/>
            <w:tcBorders>
              <w:top w:val="single" w:color="000000" w:sz="6" w:space="0"/>
              <w:left w:val="single" w:color="000000" w:sz="6" w:space="0"/>
              <w:bottom w:val="nil"/>
              <w:right w:val="single" w:color="000000" w:sz="6" w:space="0"/>
            </w:tcBorders>
          </w:tcPr>
          <w:p>
            <w:pPr>
              <w:jc w:val="center"/>
            </w:pPr>
            <w:r>
              <w:rPr>
                <w:rFonts w:ascii="Arial" w:hAnsi="Arial" w:eastAsia="Arial" w:cs="Arial"/>
                <w:sz w:val="18"/>
              </w:rPr>
              <w:t xml:space="preserve">41±0.01 </w:t>
            </w:r>
          </w:p>
        </w:tc>
      </w:tr>
      <w:tr>
        <w:tblPrEx>
          <w:tblCellMar>
            <w:top w:w="0" w:type="dxa"/>
            <w:left w:w="108" w:type="dxa"/>
            <w:bottom w:w="0" w:type="dxa"/>
            <w:right w:w="115" w:type="dxa"/>
          </w:tblCellMar>
        </w:tblPrEx>
        <w:trPr>
          <w:trHeight w:val="247" w:hRule="atLeast"/>
        </w:trPr>
        <w:tc>
          <w:tcPr>
            <w:tcW w:w="958" w:type="dxa"/>
            <w:tcBorders>
              <w:top w:val="nil"/>
              <w:left w:val="single" w:color="000000" w:sz="6" w:space="0"/>
              <w:bottom w:val="nil"/>
              <w:right w:val="single" w:color="000000" w:sz="6" w:space="0"/>
            </w:tcBorders>
          </w:tcPr>
          <w:p>
            <w:pPr>
              <w:jc w:val="center"/>
            </w:pPr>
            <w:r>
              <w:rPr>
                <w:rFonts w:ascii="Arial" w:hAnsi="Arial" w:eastAsia="Arial" w:cs="Arial"/>
                <w:b/>
                <w:sz w:val="18"/>
              </w:rPr>
              <w:t xml:space="preserve">II </w:t>
            </w:r>
          </w:p>
        </w:tc>
        <w:tc>
          <w:tcPr>
            <w:tcW w:w="1644"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6.95±0.02 </w:t>
            </w:r>
          </w:p>
        </w:tc>
        <w:tc>
          <w:tcPr>
            <w:tcW w:w="1710"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4.70±0.08 </w:t>
            </w:r>
          </w:p>
        </w:tc>
        <w:tc>
          <w:tcPr>
            <w:tcW w:w="1710"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2.20±0.04 </w:t>
            </w:r>
          </w:p>
        </w:tc>
        <w:tc>
          <w:tcPr>
            <w:tcW w:w="2023"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0.62±0.01 </w:t>
            </w:r>
          </w:p>
        </w:tc>
        <w:tc>
          <w:tcPr>
            <w:tcW w:w="1135"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40±0.12 </w:t>
            </w:r>
          </w:p>
        </w:tc>
      </w:tr>
      <w:tr>
        <w:tblPrEx>
          <w:tblCellMar>
            <w:top w:w="0" w:type="dxa"/>
            <w:left w:w="108" w:type="dxa"/>
            <w:bottom w:w="0" w:type="dxa"/>
            <w:right w:w="115" w:type="dxa"/>
          </w:tblCellMar>
        </w:tblPrEx>
        <w:trPr>
          <w:trHeight w:val="247" w:hRule="atLeast"/>
        </w:trPr>
        <w:tc>
          <w:tcPr>
            <w:tcW w:w="958" w:type="dxa"/>
            <w:tcBorders>
              <w:top w:val="nil"/>
              <w:left w:val="single" w:color="000000" w:sz="6" w:space="0"/>
              <w:bottom w:val="nil"/>
              <w:right w:val="single" w:color="000000" w:sz="6" w:space="0"/>
            </w:tcBorders>
          </w:tcPr>
          <w:p>
            <w:pPr>
              <w:jc w:val="center"/>
            </w:pPr>
            <w:r>
              <w:rPr>
                <w:rFonts w:ascii="Arial" w:hAnsi="Arial" w:eastAsia="Arial" w:cs="Arial"/>
                <w:b/>
                <w:sz w:val="18"/>
              </w:rPr>
              <w:t xml:space="preserve">III </w:t>
            </w:r>
          </w:p>
        </w:tc>
        <w:tc>
          <w:tcPr>
            <w:tcW w:w="1644"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6.80±0.02 </w:t>
            </w:r>
          </w:p>
        </w:tc>
        <w:tc>
          <w:tcPr>
            <w:tcW w:w="1710"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4.75±0.20 </w:t>
            </w:r>
          </w:p>
        </w:tc>
        <w:tc>
          <w:tcPr>
            <w:tcW w:w="1710"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2.30±0.04 </w:t>
            </w:r>
          </w:p>
        </w:tc>
        <w:tc>
          <w:tcPr>
            <w:tcW w:w="2023"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0.63±0.02 </w:t>
            </w:r>
          </w:p>
        </w:tc>
        <w:tc>
          <w:tcPr>
            <w:tcW w:w="1135"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41±0.04 </w:t>
            </w:r>
          </w:p>
        </w:tc>
      </w:tr>
      <w:tr>
        <w:tblPrEx>
          <w:tblCellMar>
            <w:top w:w="0" w:type="dxa"/>
            <w:left w:w="108" w:type="dxa"/>
            <w:bottom w:w="0" w:type="dxa"/>
            <w:right w:w="115" w:type="dxa"/>
          </w:tblCellMar>
        </w:tblPrEx>
        <w:trPr>
          <w:trHeight w:val="247" w:hRule="atLeast"/>
        </w:trPr>
        <w:tc>
          <w:tcPr>
            <w:tcW w:w="958" w:type="dxa"/>
            <w:tcBorders>
              <w:top w:val="nil"/>
              <w:left w:val="single" w:color="000000" w:sz="6" w:space="0"/>
              <w:bottom w:val="nil"/>
              <w:right w:val="single" w:color="000000" w:sz="6" w:space="0"/>
            </w:tcBorders>
          </w:tcPr>
          <w:p>
            <w:pPr>
              <w:jc w:val="center"/>
            </w:pPr>
            <w:r>
              <w:rPr>
                <w:rFonts w:ascii="Arial" w:hAnsi="Arial" w:eastAsia="Arial" w:cs="Arial"/>
                <w:b/>
                <w:sz w:val="18"/>
              </w:rPr>
              <w:t xml:space="preserve">IV </w:t>
            </w:r>
          </w:p>
        </w:tc>
        <w:tc>
          <w:tcPr>
            <w:tcW w:w="1644"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6.75±0.06 </w:t>
            </w:r>
          </w:p>
        </w:tc>
        <w:tc>
          <w:tcPr>
            <w:tcW w:w="1710"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4.80±0.20 </w:t>
            </w:r>
          </w:p>
        </w:tc>
        <w:tc>
          <w:tcPr>
            <w:tcW w:w="1710"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2.10±0.04 </w:t>
            </w:r>
          </w:p>
        </w:tc>
        <w:tc>
          <w:tcPr>
            <w:tcW w:w="2023"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0.63±0.02 </w:t>
            </w:r>
          </w:p>
        </w:tc>
        <w:tc>
          <w:tcPr>
            <w:tcW w:w="1135"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41±0.06 </w:t>
            </w:r>
          </w:p>
        </w:tc>
      </w:tr>
      <w:tr>
        <w:tblPrEx>
          <w:tblCellMar>
            <w:top w:w="0" w:type="dxa"/>
            <w:left w:w="108" w:type="dxa"/>
            <w:bottom w:w="0" w:type="dxa"/>
            <w:right w:w="115" w:type="dxa"/>
          </w:tblCellMar>
        </w:tblPrEx>
        <w:trPr>
          <w:trHeight w:val="234" w:hRule="atLeast"/>
        </w:trPr>
        <w:tc>
          <w:tcPr>
            <w:tcW w:w="958" w:type="dxa"/>
            <w:tcBorders>
              <w:top w:val="nil"/>
              <w:left w:val="single" w:color="000000" w:sz="6" w:space="0"/>
              <w:bottom w:val="single" w:color="000000" w:sz="6" w:space="0"/>
              <w:right w:val="single" w:color="000000" w:sz="6" w:space="0"/>
            </w:tcBorders>
          </w:tcPr>
          <w:p>
            <w:pPr>
              <w:jc w:val="center"/>
            </w:pPr>
            <w:r>
              <w:rPr>
                <w:rFonts w:ascii="Arial" w:hAnsi="Arial" w:eastAsia="Arial" w:cs="Arial"/>
                <w:b/>
                <w:sz w:val="18"/>
              </w:rPr>
              <w:t xml:space="preserve">V </w:t>
            </w:r>
          </w:p>
        </w:tc>
        <w:tc>
          <w:tcPr>
            <w:tcW w:w="1644" w:type="dxa"/>
            <w:tcBorders>
              <w:top w:val="nil"/>
              <w:left w:val="single" w:color="000000" w:sz="6" w:space="0"/>
              <w:bottom w:val="single" w:color="000000" w:sz="6" w:space="0"/>
              <w:right w:val="single" w:color="000000" w:sz="6" w:space="0"/>
            </w:tcBorders>
          </w:tcPr>
          <w:p>
            <w:pPr>
              <w:jc w:val="center"/>
            </w:pPr>
            <w:r>
              <w:rPr>
                <w:rFonts w:ascii="Arial" w:hAnsi="Arial" w:eastAsia="Arial" w:cs="Arial"/>
                <w:sz w:val="18"/>
              </w:rPr>
              <w:t>6.50±0.04</w:t>
            </w:r>
          </w:p>
        </w:tc>
        <w:tc>
          <w:tcPr>
            <w:tcW w:w="1710" w:type="dxa"/>
            <w:tcBorders>
              <w:top w:val="nil"/>
              <w:left w:val="single" w:color="000000" w:sz="6" w:space="0"/>
              <w:bottom w:val="single" w:color="000000" w:sz="6" w:space="0"/>
              <w:right w:val="single" w:color="000000" w:sz="6" w:space="0"/>
            </w:tcBorders>
          </w:tcPr>
          <w:p>
            <w:pPr>
              <w:jc w:val="center"/>
            </w:pPr>
            <w:r>
              <w:rPr>
                <w:rFonts w:ascii="Arial" w:hAnsi="Arial" w:eastAsia="Arial" w:cs="Arial"/>
                <w:sz w:val="18"/>
              </w:rPr>
              <w:t xml:space="preserve">4.15±0.02 </w:t>
            </w:r>
          </w:p>
        </w:tc>
        <w:tc>
          <w:tcPr>
            <w:tcW w:w="1710" w:type="dxa"/>
            <w:tcBorders>
              <w:top w:val="nil"/>
              <w:left w:val="single" w:color="000000" w:sz="6" w:space="0"/>
              <w:bottom w:val="single" w:color="000000" w:sz="6" w:space="0"/>
              <w:right w:val="single" w:color="000000" w:sz="6" w:space="0"/>
            </w:tcBorders>
          </w:tcPr>
          <w:p>
            <w:pPr>
              <w:jc w:val="center"/>
            </w:pPr>
            <w:r>
              <w:rPr>
                <w:rFonts w:ascii="Arial" w:hAnsi="Arial" w:eastAsia="Arial" w:cs="Arial"/>
                <w:sz w:val="18"/>
              </w:rPr>
              <w:t xml:space="preserve">2.20±0.04 </w:t>
            </w:r>
          </w:p>
        </w:tc>
        <w:tc>
          <w:tcPr>
            <w:tcW w:w="2023" w:type="dxa"/>
            <w:tcBorders>
              <w:top w:val="nil"/>
              <w:left w:val="single" w:color="000000" w:sz="6" w:space="0"/>
              <w:bottom w:val="single" w:color="000000" w:sz="6" w:space="0"/>
              <w:right w:val="single" w:color="000000" w:sz="6" w:space="0"/>
            </w:tcBorders>
          </w:tcPr>
          <w:p>
            <w:pPr>
              <w:jc w:val="center"/>
            </w:pPr>
            <w:r>
              <w:rPr>
                <w:rFonts w:ascii="Arial" w:hAnsi="Arial" w:eastAsia="Arial" w:cs="Arial"/>
                <w:sz w:val="18"/>
              </w:rPr>
              <w:t xml:space="preserve">0.62±0.02 </w:t>
            </w:r>
          </w:p>
        </w:tc>
        <w:tc>
          <w:tcPr>
            <w:tcW w:w="1135" w:type="dxa"/>
            <w:tcBorders>
              <w:top w:val="nil"/>
              <w:left w:val="single" w:color="000000" w:sz="6" w:space="0"/>
              <w:bottom w:val="single" w:color="000000" w:sz="6" w:space="0"/>
              <w:right w:val="single" w:color="000000" w:sz="6" w:space="0"/>
            </w:tcBorders>
          </w:tcPr>
          <w:p>
            <w:pPr>
              <w:jc w:val="center"/>
            </w:pPr>
            <w:r>
              <w:rPr>
                <w:rFonts w:ascii="Arial" w:hAnsi="Arial" w:eastAsia="Arial" w:cs="Arial"/>
                <w:sz w:val="18"/>
              </w:rPr>
              <w:t xml:space="preserve">40±0.01 </w:t>
            </w:r>
          </w:p>
        </w:tc>
      </w:tr>
    </w:tbl>
    <w:p>
      <w:pPr>
        <w:spacing w:line="360" w:lineRule="auto"/>
        <w:ind w:left="-5" w:right="-15" w:hanging="10"/>
        <w:jc w:val="both"/>
        <w:rPr>
          <w:rFonts w:ascii="Times New Roman" w:hAnsi="Times New Roman" w:cs="Times New Roman"/>
          <w:sz w:val="24"/>
          <w:szCs w:val="24"/>
        </w:rPr>
      </w:pPr>
    </w:p>
    <w:p>
      <w:pPr>
        <w:spacing w:line="360" w:lineRule="auto"/>
        <w:ind w:left="-5" w:right="-15" w:hanging="10"/>
        <w:jc w:val="both"/>
        <w:rPr>
          <w:rFonts w:ascii="Times New Roman" w:hAnsi="Times New Roman" w:cs="Times New Roman"/>
          <w:sz w:val="24"/>
          <w:szCs w:val="24"/>
        </w:rPr>
      </w:pPr>
    </w:p>
    <w:p>
      <w:pPr>
        <w:spacing w:line="360" w:lineRule="auto"/>
        <w:ind w:left="-5" w:right="-15" w:hanging="10"/>
        <w:jc w:val="both"/>
        <w:rPr>
          <w:rFonts w:ascii="Times New Roman" w:hAnsi="Times New Roman" w:cs="Times New Roman"/>
          <w:sz w:val="24"/>
          <w:szCs w:val="24"/>
        </w:rPr>
      </w:pPr>
    </w:p>
    <w:p>
      <w:pPr>
        <w:spacing w:line="360" w:lineRule="auto"/>
        <w:ind w:left="-5" w:right="-15" w:hanging="10"/>
        <w:jc w:val="both"/>
        <w:rPr>
          <w:rFonts w:ascii="Times New Roman" w:hAnsi="Times New Roman" w:cs="Times New Roman"/>
          <w:sz w:val="24"/>
          <w:szCs w:val="24"/>
        </w:rPr>
      </w:pPr>
    </w:p>
    <w:p>
      <w:pPr>
        <w:spacing w:line="235" w:lineRule="auto"/>
        <w:ind w:right="612"/>
        <w:rPr>
          <w:rFonts w:ascii="Times New Roman" w:hAnsi="Times New Roman" w:cs="Times New Roman"/>
          <w:sz w:val="24"/>
          <w:szCs w:val="24"/>
        </w:rPr>
      </w:pPr>
      <w:r>
        <w:rPr>
          <w:rFonts w:ascii="Times New Roman" w:hAnsi="Times New Roman" w:eastAsia="Arial" w:cs="Times New Roman"/>
          <w:b/>
          <w:sz w:val="24"/>
          <w:szCs w:val="24"/>
        </w:rPr>
        <w:t>Table 3.</w:t>
      </w:r>
      <w:r>
        <w:rPr>
          <w:rFonts w:ascii="Times New Roman" w:hAnsi="Times New Roman" w:eastAsia="Arial" w:cs="Times New Roman"/>
          <w:sz w:val="24"/>
          <w:szCs w:val="24"/>
        </w:rPr>
        <w:t xml:space="preserve"> Effect of Phytocystatin</w:t>
      </w:r>
      <w:r>
        <w:rPr>
          <w:rFonts w:hint="default" w:ascii="Times New Roman" w:hAnsi="Times New Roman" w:eastAsia="Arial" w:cs="Times New Roman"/>
          <w:sz w:val="24"/>
          <w:szCs w:val="24"/>
          <w:lang w:val="en-US"/>
        </w:rPr>
        <w:t xml:space="preserve"> Extract </w:t>
      </w:r>
      <w:r>
        <w:rPr>
          <w:rFonts w:ascii="Times New Roman" w:hAnsi="Times New Roman" w:eastAsia="Arial" w:cs="Times New Roman"/>
          <w:sz w:val="24"/>
          <w:szCs w:val="24"/>
        </w:rPr>
        <w:t xml:space="preserve"> </w:t>
      </w:r>
      <w:r>
        <w:rPr>
          <w:rFonts w:hint="default" w:ascii="Times New Roman" w:hAnsi="Times New Roman" w:eastAsia="Arial" w:cs="Times New Roman"/>
          <w:sz w:val="24"/>
          <w:szCs w:val="24"/>
          <w:lang w:val="en-US"/>
        </w:rPr>
        <w:t>from</w:t>
      </w:r>
      <w:r>
        <w:rPr>
          <w:rFonts w:ascii="Times New Roman" w:hAnsi="Times New Roman" w:eastAsia="Arial" w:cs="Times New Roman"/>
          <w:sz w:val="24"/>
          <w:szCs w:val="24"/>
        </w:rPr>
        <w:t xml:space="preserve"> </w:t>
      </w:r>
      <w:r>
        <w:rPr>
          <w:rFonts w:ascii="Times New Roman" w:hAnsi="Times New Roman" w:eastAsia="Arial" w:cs="Times New Roman"/>
          <w:i/>
          <w:sz w:val="24"/>
          <w:szCs w:val="24"/>
        </w:rPr>
        <w:t>M.oleifera</w:t>
      </w:r>
      <w:r>
        <w:rPr>
          <w:rFonts w:ascii="Times New Roman" w:hAnsi="Times New Roman" w:eastAsia="Arial" w:cs="Times New Roman"/>
          <w:sz w:val="24"/>
          <w:szCs w:val="24"/>
        </w:rPr>
        <w:t xml:space="preserve"> </w:t>
      </w:r>
      <w:r>
        <w:rPr>
          <w:rFonts w:hint="default" w:ascii="Times New Roman" w:hAnsi="Times New Roman" w:eastAsia="Arial" w:cs="Times New Roman"/>
          <w:sz w:val="24"/>
          <w:szCs w:val="24"/>
          <w:lang w:val="en-US"/>
        </w:rPr>
        <w:t xml:space="preserve"> Leaf </w:t>
      </w:r>
      <w:r>
        <w:rPr>
          <w:rFonts w:ascii="Times New Roman" w:hAnsi="Times New Roman" w:eastAsia="Arial" w:cs="Times New Roman"/>
          <w:sz w:val="24"/>
          <w:szCs w:val="24"/>
        </w:rPr>
        <w:t xml:space="preserve">on some biochemical parameters of mice infected with </w:t>
      </w:r>
      <w:r>
        <w:rPr>
          <w:rFonts w:ascii="Times New Roman" w:hAnsi="Times New Roman" w:eastAsia="Arial" w:cs="Times New Roman"/>
          <w:i/>
          <w:sz w:val="24"/>
          <w:szCs w:val="24"/>
        </w:rPr>
        <w:t>Plasmodium berghei</w:t>
      </w:r>
      <w:r>
        <w:rPr>
          <w:rFonts w:ascii="Times New Roman" w:hAnsi="Times New Roman" w:eastAsia="Arial" w:cs="Times New Roman"/>
          <w:sz w:val="24"/>
          <w:szCs w:val="24"/>
        </w:rPr>
        <w:t xml:space="preserve"> on day 5 post treatment </w:t>
      </w:r>
      <w:r>
        <w:rPr>
          <w:rFonts w:ascii="Times New Roman" w:hAnsi="Times New Roman" w:eastAsia="Arial" w:cs="Times New Roman"/>
          <w:b/>
          <w:sz w:val="24"/>
          <w:szCs w:val="24"/>
        </w:rPr>
        <w:t xml:space="preserve"> </w:t>
      </w:r>
    </w:p>
    <w:tbl>
      <w:tblPr>
        <w:tblStyle w:val="7"/>
        <w:tblW w:w="9566" w:type="dxa"/>
        <w:tblInd w:w="0" w:type="dxa"/>
        <w:tblLayout w:type="autofit"/>
        <w:tblCellMar>
          <w:top w:w="0" w:type="dxa"/>
          <w:left w:w="108" w:type="dxa"/>
          <w:bottom w:w="0" w:type="dxa"/>
          <w:right w:w="115" w:type="dxa"/>
        </w:tblCellMar>
      </w:tblPr>
      <w:tblGrid>
        <w:gridCol w:w="1298"/>
        <w:gridCol w:w="1934"/>
        <w:gridCol w:w="1980"/>
        <w:gridCol w:w="1530"/>
        <w:gridCol w:w="1636"/>
        <w:gridCol w:w="1188"/>
      </w:tblGrid>
      <w:tr>
        <w:tblPrEx>
          <w:tblCellMar>
            <w:top w:w="0" w:type="dxa"/>
            <w:left w:w="108" w:type="dxa"/>
            <w:bottom w:w="0" w:type="dxa"/>
            <w:right w:w="115" w:type="dxa"/>
          </w:tblCellMar>
        </w:tblPrEx>
        <w:trPr>
          <w:trHeight w:val="529" w:hRule="atLeast"/>
        </w:trPr>
        <w:tc>
          <w:tcPr>
            <w:tcW w:w="1298"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b/>
                <w:sz w:val="24"/>
                <w:szCs w:val="24"/>
              </w:rPr>
              <w:t xml:space="preserve">Groups </w:t>
            </w:r>
          </w:p>
        </w:tc>
        <w:tc>
          <w:tcPr>
            <w:tcW w:w="1934" w:type="dxa"/>
            <w:tcBorders>
              <w:top w:val="single" w:color="000000" w:sz="6" w:space="0"/>
              <w:left w:val="single" w:color="000000" w:sz="6" w:space="0"/>
              <w:bottom w:val="single" w:color="000000" w:sz="6" w:space="0"/>
              <w:right w:val="single" w:color="000000" w:sz="6" w:space="0"/>
            </w:tcBorders>
          </w:tcPr>
          <w:p>
            <w:pPr>
              <w:ind w:left="7"/>
              <w:rPr>
                <w:rFonts w:ascii="Times New Roman" w:hAnsi="Times New Roman" w:cs="Times New Roman"/>
                <w:sz w:val="24"/>
                <w:szCs w:val="24"/>
              </w:rPr>
            </w:pPr>
            <w:r>
              <w:rPr>
                <w:rFonts w:ascii="Times New Roman" w:hAnsi="Times New Roman" w:eastAsia="Arial" w:cs="Times New Roman"/>
                <w:b/>
                <w:sz w:val="24"/>
                <w:szCs w:val="24"/>
              </w:rPr>
              <w:t xml:space="preserve">Protein (mg/dL) </w:t>
            </w:r>
          </w:p>
        </w:tc>
        <w:tc>
          <w:tcPr>
            <w:tcW w:w="198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b/>
                <w:sz w:val="24"/>
                <w:szCs w:val="24"/>
              </w:rPr>
              <w:t xml:space="preserve">Albumin (mg/dL) </w:t>
            </w:r>
          </w:p>
        </w:tc>
        <w:tc>
          <w:tcPr>
            <w:tcW w:w="153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b/>
                <w:sz w:val="24"/>
                <w:szCs w:val="24"/>
              </w:rPr>
              <w:t xml:space="preserve">Globulin (mg/dl) </w:t>
            </w:r>
          </w:p>
        </w:tc>
        <w:tc>
          <w:tcPr>
            <w:tcW w:w="1636"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b/>
                <w:sz w:val="24"/>
                <w:szCs w:val="24"/>
              </w:rPr>
              <w:t>Free fatty acid (mg/ml)</w:t>
            </w:r>
          </w:p>
        </w:tc>
        <w:tc>
          <w:tcPr>
            <w:tcW w:w="1188" w:type="dxa"/>
            <w:tcBorders>
              <w:top w:val="single" w:color="000000" w:sz="6" w:space="0"/>
              <w:left w:val="single" w:color="000000" w:sz="6" w:space="0"/>
              <w:bottom w:val="single" w:color="000000" w:sz="6" w:space="0"/>
              <w:right w:val="single" w:color="000000" w:sz="6" w:space="0"/>
            </w:tcBorders>
          </w:tcPr>
          <w:p>
            <w:pPr>
              <w:ind w:left="5"/>
              <w:jc w:val="center"/>
              <w:rPr>
                <w:rFonts w:ascii="Times New Roman" w:hAnsi="Times New Roman" w:cs="Times New Roman"/>
                <w:sz w:val="24"/>
                <w:szCs w:val="24"/>
              </w:rPr>
            </w:pPr>
            <w:r>
              <w:rPr>
                <w:rFonts w:ascii="Times New Roman" w:hAnsi="Times New Roman" w:eastAsia="Arial" w:cs="Times New Roman"/>
                <w:b/>
                <w:sz w:val="24"/>
                <w:szCs w:val="24"/>
              </w:rPr>
              <w:t xml:space="preserve">PCV values </w:t>
            </w:r>
          </w:p>
        </w:tc>
      </w:tr>
      <w:tr>
        <w:tblPrEx>
          <w:tblCellMar>
            <w:top w:w="0" w:type="dxa"/>
            <w:left w:w="108" w:type="dxa"/>
            <w:bottom w:w="0" w:type="dxa"/>
            <w:right w:w="115" w:type="dxa"/>
          </w:tblCellMar>
        </w:tblPrEx>
        <w:trPr>
          <w:trHeight w:val="286" w:hRule="atLeast"/>
        </w:trPr>
        <w:tc>
          <w:tcPr>
            <w:tcW w:w="1298" w:type="dxa"/>
            <w:tcBorders>
              <w:top w:val="single" w:color="000000" w:sz="6" w:space="0"/>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b/>
                <w:sz w:val="24"/>
                <w:szCs w:val="24"/>
              </w:rPr>
              <w:t xml:space="preserve">I </w:t>
            </w:r>
          </w:p>
        </w:tc>
        <w:tc>
          <w:tcPr>
            <w:tcW w:w="1934" w:type="dxa"/>
            <w:tcBorders>
              <w:top w:val="single" w:color="000000" w:sz="6" w:space="0"/>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7.34±0.02</w:t>
            </w:r>
            <w:r>
              <w:rPr>
                <w:rFonts w:ascii="Times New Roman" w:hAnsi="Times New Roman" w:eastAsia="Arial" w:cs="Times New Roman"/>
                <w:sz w:val="24"/>
                <w:szCs w:val="24"/>
                <w:vertAlign w:val="superscript"/>
              </w:rPr>
              <w:t>b</w:t>
            </w:r>
            <w:r>
              <w:rPr>
                <w:rFonts w:ascii="Times New Roman" w:hAnsi="Times New Roman" w:eastAsia="Arial" w:cs="Times New Roman"/>
                <w:sz w:val="24"/>
                <w:szCs w:val="24"/>
              </w:rPr>
              <w:t xml:space="preserve"> </w:t>
            </w:r>
          </w:p>
        </w:tc>
        <w:tc>
          <w:tcPr>
            <w:tcW w:w="1980" w:type="dxa"/>
            <w:tcBorders>
              <w:top w:val="single" w:color="000000" w:sz="6" w:space="0"/>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5.10±0.04</w:t>
            </w:r>
            <w:r>
              <w:rPr>
                <w:rFonts w:ascii="Times New Roman" w:hAnsi="Times New Roman" w:eastAsia="Arial" w:cs="Times New Roman"/>
                <w:sz w:val="24"/>
                <w:szCs w:val="24"/>
                <w:vertAlign w:val="superscript"/>
              </w:rPr>
              <w:t xml:space="preserve"> b</w:t>
            </w:r>
            <w:r>
              <w:rPr>
                <w:rFonts w:ascii="Times New Roman" w:hAnsi="Times New Roman" w:eastAsia="Arial" w:cs="Times New Roman"/>
                <w:sz w:val="24"/>
                <w:szCs w:val="24"/>
              </w:rPr>
              <w:t xml:space="preserve">  </w:t>
            </w:r>
          </w:p>
        </w:tc>
        <w:tc>
          <w:tcPr>
            <w:tcW w:w="1530" w:type="dxa"/>
            <w:tcBorders>
              <w:top w:val="single" w:color="000000" w:sz="6" w:space="0"/>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2.05±0.06</w:t>
            </w:r>
            <w:r>
              <w:rPr>
                <w:rFonts w:ascii="Times New Roman" w:hAnsi="Times New Roman" w:eastAsia="Arial" w:cs="Times New Roman"/>
                <w:sz w:val="24"/>
                <w:szCs w:val="24"/>
                <w:vertAlign w:val="superscript"/>
              </w:rPr>
              <w:t xml:space="preserve"> b</w:t>
            </w:r>
            <w:r>
              <w:rPr>
                <w:rFonts w:ascii="Times New Roman" w:hAnsi="Times New Roman" w:eastAsia="Arial" w:cs="Times New Roman"/>
                <w:sz w:val="24"/>
                <w:szCs w:val="24"/>
              </w:rPr>
              <w:t xml:space="preserve">  </w:t>
            </w:r>
          </w:p>
        </w:tc>
        <w:tc>
          <w:tcPr>
            <w:tcW w:w="1636" w:type="dxa"/>
            <w:tcBorders>
              <w:top w:val="single" w:color="000000" w:sz="6" w:space="0"/>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1.26±0.004</w:t>
            </w:r>
            <w:r>
              <w:rPr>
                <w:rFonts w:ascii="Times New Roman" w:hAnsi="Times New Roman" w:eastAsia="Arial" w:cs="Times New Roman"/>
                <w:sz w:val="24"/>
                <w:szCs w:val="24"/>
                <w:vertAlign w:val="superscript"/>
              </w:rPr>
              <w:t xml:space="preserve"> b</w:t>
            </w:r>
            <w:r>
              <w:rPr>
                <w:rFonts w:ascii="Times New Roman" w:hAnsi="Times New Roman" w:eastAsia="Arial" w:cs="Times New Roman"/>
                <w:sz w:val="24"/>
                <w:szCs w:val="24"/>
              </w:rPr>
              <w:t xml:space="preserve">  </w:t>
            </w:r>
          </w:p>
        </w:tc>
        <w:tc>
          <w:tcPr>
            <w:tcW w:w="1188" w:type="dxa"/>
            <w:tcBorders>
              <w:top w:val="single" w:color="000000" w:sz="6" w:space="0"/>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39±0.03</w:t>
            </w:r>
            <w:r>
              <w:rPr>
                <w:rFonts w:ascii="Times New Roman" w:hAnsi="Times New Roman" w:eastAsia="Arial" w:cs="Times New Roman"/>
                <w:sz w:val="24"/>
                <w:szCs w:val="24"/>
                <w:vertAlign w:val="superscript"/>
              </w:rPr>
              <w:t xml:space="preserve"> b</w:t>
            </w:r>
            <w:r>
              <w:rPr>
                <w:rFonts w:ascii="Times New Roman" w:hAnsi="Times New Roman" w:eastAsia="Arial" w:cs="Times New Roman"/>
                <w:sz w:val="24"/>
                <w:szCs w:val="24"/>
              </w:rPr>
              <w:t xml:space="preserve">  </w:t>
            </w:r>
          </w:p>
        </w:tc>
      </w:tr>
      <w:tr>
        <w:tblPrEx>
          <w:tblCellMar>
            <w:top w:w="0" w:type="dxa"/>
            <w:left w:w="108" w:type="dxa"/>
            <w:bottom w:w="0" w:type="dxa"/>
            <w:right w:w="115" w:type="dxa"/>
          </w:tblCellMar>
        </w:tblPrEx>
        <w:trPr>
          <w:trHeight w:val="257" w:hRule="atLeast"/>
        </w:trPr>
        <w:tc>
          <w:tcPr>
            <w:tcW w:w="1298"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b/>
                <w:sz w:val="24"/>
                <w:szCs w:val="24"/>
              </w:rPr>
              <w:t xml:space="preserve">II </w:t>
            </w:r>
          </w:p>
        </w:tc>
        <w:tc>
          <w:tcPr>
            <w:tcW w:w="1934"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6.70±0.02</w:t>
            </w:r>
            <w:r>
              <w:rPr>
                <w:rFonts w:ascii="Times New Roman" w:hAnsi="Times New Roman" w:eastAsia="Arial" w:cs="Times New Roman"/>
                <w:sz w:val="24"/>
                <w:szCs w:val="24"/>
                <w:vertAlign w:val="superscript"/>
              </w:rPr>
              <w:t>b</w:t>
            </w:r>
            <w:r>
              <w:rPr>
                <w:rFonts w:ascii="Times New Roman" w:hAnsi="Times New Roman" w:eastAsia="Arial" w:cs="Times New Roman"/>
                <w:sz w:val="24"/>
                <w:szCs w:val="24"/>
              </w:rPr>
              <w:t xml:space="preserve"> </w:t>
            </w:r>
          </w:p>
        </w:tc>
        <w:tc>
          <w:tcPr>
            <w:tcW w:w="1980"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3.90±0.04</w:t>
            </w:r>
            <w:r>
              <w:rPr>
                <w:rFonts w:ascii="Times New Roman" w:hAnsi="Times New Roman" w:eastAsia="Arial" w:cs="Times New Roman"/>
                <w:sz w:val="24"/>
                <w:szCs w:val="24"/>
                <w:vertAlign w:val="superscript"/>
              </w:rPr>
              <w:t xml:space="preserve"> b</w:t>
            </w:r>
            <w:r>
              <w:rPr>
                <w:rFonts w:ascii="Times New Roman" w:hAnsi="Times New Roman" w:eastAsia="Arial" w:cs="Times New Roman"/>
                <w:sz w:val="24"/>
                <w:szCs w:val="24"/>
              </w:rPr>
              <w:t xml:space="preserve">  </w:t>
            </w:r>
          </w:p>
        </w:tc>
        <w:tc>
          <w:tcPr>
            <w:tcW w:w="1530"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2.85±0.02</w:t>
            </w:r>
            <w:r>
              <w:rPr>
                <w:rFonts w:ascii="Times New Roman" w:hAnsi="Times New Roman" w:eastAsia="Arial" w:cs="Times New Roman"/>
                <w:sz w:val="24"/>
                <w:szCs w:val="24"/>
                <w:vertAlign w:val="superscript"/>
              </w:rPr>
              <w:t xml:space="preserve"> b</w:t>
            </w:r>
            <w:r>
              <w:rPr>
                <w:rFonts w:ascii="Times New Roman" w:hAnsi="Times New Roman" w:eastAsia="Arial" w:cs="Times New Roman"/>
                <w:sz w:val="24"/>
                <w:szCs w:val="24"/>
              </w:rPr>
              <w:t xml:space="preserve">  </w:t>
            </w:r>
          </w:p>
        </w:tc>
        <w:tc>
          <w:tcPr>
            <w:tcW w:w="1636"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1.57±0.0</w:t>
            </w:r>
            <w:r>
              <w:rPr>
                <w:rFonts w:ascii="Times New Roman" w:hAnsi="Times New Roman" w:eastAsia="Arial" w:cs="Times New Roman"/>
                <w:sz w:val="24"/>
                <w:szCs w:val="24"/>
                <w:vertAlign w:val="superscript"/>
              </w:rPr>
              <w:t xml:space="preserve"> b</w:t>
            </w:r>
            <w:r>
              <w:rPr>
                <w:rFonts w:ascii="Times New Roman" w:hAnsi="Times New Roman" w:eastAsia="Arial" w:cs="Times New Roman"/>
                <w:sz w:val="24"/>
                <w:szCs w:val="24"/>
              </w:rPr>
              <w:t xml:space="preserve">  </w:t>
            </w:r>
          </w:p>
        </w:tc>
        <w:tc>
          <w:tcPr>
            <w:tcW w:w="1188"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38±0.05</w:t>
            </w:r>
            <w:r>
              <w:rPr>
                <w:rFonts w:ascii="Times New Roman" w:hAnsi="Times New Roman" w:eastAsia="Arial" w:cs="Times New Roman"/>
                <w:sz w:val="24"/>
                <w:szCs w:val="24"/>
                <w:vertAlign w:val="superscript"/>
              </w:rPr>
              <w:t xml:space="preserve"> b</w:t>
            </w:r>
            <w:r>
              <w:rPr>
                <w:rFonts w:ascii="Times New Roman" w:hAnsi="Times New Roman" w:eastAsia="Arial" w:cs="Times New Roman"/>
                <w:sz w:val="24"/>
                <w:szCs w:val="24"/>
              </w:rPr>
              <w:t xml:space="preserve">  </w:t>
            </w:r>
          </w:p>
        </w:tc>
      </w:tr>
      <w:tr>
        <w:tblPrEx>
          <w:tblCellMar>
            <w:top w:w="0" w:type="dxa"/>
            <w:left w:w="108" w:type="dxa"/>
            <w:bottom w:w="0" w:type="dxa"/>
            <w:right w:w="115" w:type="dxa"/>
          </w:tblCellMar>
        </w:tblPrEx>
        <w:trPr>
          <w:trHeight w:val="257" w:hRule="atLeast"/>
        </w:trPr>
        <w:tc>
          <w:tcPr>
            <w:tcW w:w="1298"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b/>
                <w:sz w:val="24"/>
                <w:szCs w:val="24"/>
              </w:rPr>
              <w:t xml:space="preserve">III </w:t>
            </w:r>
          </w:p>
        </w:tc>
        <w:tc>
          <w:tcPr>
            <w:tcW w:w="1934"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6.15±0.02</w:t>
            </w:r>
            <w:r>
              <w:rPr>
                <w:rFonts w:ascii="Times New Roman" w:hAnsi="Times New Roman" w:eastAsia="Arial" w:cs="Times New Roman"/>
                <w:b/>
                <w:sz w:val="24"/>
                <w:szCs w:val="24"/>
                <w:vertAlign w:val="superscript"/>
              </w:rPr>
              <w:t>b</w:t>
            </w:r>
          </w:p>
        </w:tc>
        <w:tc>
          <w:tcPr>
            <w:tcW w:w="1980"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3.55±0.10</w:t>
            </w:r>
            <w:r>
              <w:rPr>
                <w:rFonts w:ascii="Times New Roman" w:hAnsi="Times New Roman" w:eastAsia="Arial" w:cs="Times New Roman"/>
                <w:sz w:val="24"/>
                <w:szCs w:val="24"/>
                <w:vertAlign w:val="superscript"/>
              </w:rPr>
              <w:t xml:space="preserve"> b</w:t>
            </w:r>
            <w:r>
              <w:rPr>
                <w:rFonts w:ascii="Times New Roman" w:hAnsi="Times New Roman" w:eastAsia="Arial" w:cs="Times New Roman"/>
                <w:sz w:val="24"/>
                <w:szCs w:val="24"/>
              </w:rPr>
              <w:t xml:space="preserve">  </w:t>
            </w:r>
          </w:p>
        </w:tc>
        <w:tc>
          <w:tcPr>
            <w:tcW w:w="1530"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2.50±0.12</w:t>
            </w:r>
            <w:r>
              <w:rPr>
                <w:rFonts w:ascii="Times New Roman" w:hAnsi="Times New Roman" w:eastAsia="Arial" w:cs="Times New Roman"/>
                <w:sz w:val="24"/>
                <w:szCs w:val="24"/>
                <w:vertAlign w:val="superscript"/>
              </w:rPr>
              <w:t xml:space="preserve"> b</w:t>
            </w:r>
            <w:r>
              <w:rPr>
                <w:rFonts w:ascii="Times New Roman" w:hAnsi="Times New Roman" w:eastAsia="Arial" w:cs="Times New Roman"/>
                <w:sz w:val="24"/>
                <w:szCs w:val="24"/>
              </w:rPr>
              <w:t xml:space="preserve">  </w:t>
            </w:r>
          </w:p>
        </w:tc>
        <w:tc>
          <w:tcPr>
            <w:tcW w:w="1636"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1.83±0.00</w:t>
            </w:r>
            <w:r>
              <w:rPr>
                <w:rFonts w:ascii="Times New Roman" w:hAnsi="Times New Roman" w:eastAsia="Arial" w:cs="Times New Roman"/>
                <w:sz w:val="24"/>
                <w:szCs w:val="24"/>
                <w:vertAlign w:val="superscript"/>
              </w:rPr>
              <w:t xml:space="preserve"> b</w:t>
            </w:r>
            <w:r>
              <w:rPr>
                <w:rFonts w:ascii="Times New Roman" w:hAnsi="Times New Roman" w:eastAsia="Arial" w:cs="Times New Roman"/>
                <w:sz w:val="24"/>
                <w:szCs w:val="24"/>
              </w:rPr>
              <w:t xml:space="preserve">  </w:t>
            </w:r>
          </w:p>
        </w:tc>
        <w:tc>
          <w:tcPr>
            <w:tcW w:w="1188"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38±0.08</w:t>
            </w:r>
            <w:r>
              <w:rPr>
                <w:rFonts w:ascii="Times New Roman" w:hAnsi="Times New Roman" w:eastAsia="Arial" w:cs="Times New Roman"/>
                <w:sz w:val="24"/>
                <w:szCs w:val="24"/>
                <w:vertAlign w:val="superscript"/>
              </w:rPr>
              <w:t xml:space="preserve"> b</w:t>
            </w:r>
          </w:p>
        </w:tc>
      </w:tr>
      <w:tr>
        <w:tblPrEx>
          <w:tblCellMar>
            <w:top w:w="0" w:type="dxa"/>
            <w:left w:w="108" w:type="dxa"/>
            <w:bottom w:w="0" w:type="dxa"/>
            <w:right w:w="115" w:type="dxa"/>
          </w:tblCellMar>
        </w:tblPrEx>
        <w:trPr>
          <w:trHeight w:val="257" w:hRule="atLeast"/>
        </w:trPr>
        <w:tc>
          <w:tcPr>
            <w:tcW w:w="1298"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b/>
                <w:sz w:val="24"/>
                <w:szCs w:val="24"/>
              </w:rPr>
              <w:t xml:space="preserve">IV </w:t>
            </w:r>
          </w:p>
        </w:tc>
        <w:tc>
          <w:tcPr>
            <w:tcW w:w="1934"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5.8±0.00</w:t>
            </w:r>
            <w:r>
              <w:rPr>
                <w:rFonts w:ascii="Times New Roman" w:hAnsi="Times New Roman" w:eastAsia="Arial" w:cs="Times New Roman"/>
                <w:sz w:val="24"/>
                <w:szCs w:val="24"/>
                <w:vertAlign w:val="superscript"/>
              </w:rPr>
              <w:t>a</w:t>
            </w:r>
            <w:r>
              <w:rPr>
                <w:rFonts w:ascii="Times New Roman" w:hAnsi="Times New Roman" w:eastAsia="Arial" w:cs="Times New Roman"/>
                <w:sz w:val="24"/>
                <w:szCs w:val="24"/>
              </w:rPr>
              <w:t xml:space="preserve"> </w:t>
            </w:r>
          </w:p>
        </w:tc>
        <w:tc>
          <w:tcPr>
            <w:tcW w:w="1980"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0.15±0.02</w:t>
            </w:r>
            <w:r>
              <w:rPr>
                <w:rFonts w:ascii="Times New Roman" w:hAnsi="Times New Roman" w:eastAsia="Arial" w:cs="Times New Roman"/>
                <w:sz w:val="24"/>
                <w:szCs w:val="24"/>
                <w:vertAlign w:val="superscript"/>
              </w:rPr>
              <w:t xml:space="preserve"> a</w:t>
            </w:r>
            <w:r>
              <w:rPr>
                <w:rFonts w:ascii="Times New Roman" w:hAnsi="Times New Roman" w:eastAsia="Arial" w:cs="Times New Roman"/>
                <w:sz w:val="24"/>
                <w:szCs w:val="24"/>
              </w:rPr>
              <w:t xml:space="preserve"> </w:t>
            </w:r>
          </w:p>
        </w:tc>
        <w:tc>
          <w:tcPr>
            <w:tcW w:w="1530"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5.65±0.02</w:t>
            </w:r>
            <w:r>
              <w:rPr>
                <w:rFonts w:ascii="Times New Roman" w:hAnsi="Times New Roman" w:eastAsia="Arial" w:cs="Times New Roman"/>
                <w:sz w:val="24"/>
                <w:szCs w:val="24"/>
                <w:vertAlign w:val="superscript"/>
              </w:rPr>
              <w:t xml:space="preserve"> a</w:t>
            </w:r>
            <w:r>
              <w:rPr>
                <w:rFonts w:ascii="Times New Roman" w:hAnsi="Times New Roman" w:eastAsia="Arial" w:cs="Times New Roman"/>
                <w:sz w:val="24"/>
                <w:szCs w:val="24"/>
              </w:rPr>
              <w:t xml:space="preserve"> </w:t>
            </w:r>
          </w:p>
        </w:tc>
        <w:tc>
          <w:tcPr>
            <w:tcW w:w="1636"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6.2±0.00</w:t>
            </w:r>
            <w:r>
              <w:rPr>
                <w:rFonts w:ascii="Times New Roman" w:hAnsi="Times New Roman" w:eastAsia="Arial" w:cs="Times New Roman"/>
                <w:sz w:val="24"/>
                <w:szCs w:val="24"/>
                <w:vertAlign w:val="superscript"/>
              </w:rPr>
              <w:t xml:space="preserve"> a</w:t>
            </w:r>
            <w:r>
              <w:rPr>
                <w:rFonts w:ascii="Times New Roman" w:hAnsi="Times New Roman" w:eastAsia="Arial" w:cs="Times New Roman"/>
                <w:sz w:val="24"/>
                <w:szCs w:val="24"/>
              </w:rPr>
              <w:t xml:space="preserve"> </w:t>
            </w:r>
          </w:p>
        </w:tc>
        <w:tc>
          <w:tcPr>
            <w:tcW w:w="1188" w:type="dxa"/>
            <w:tcBorders>
              <w:top w:val="nil"/>
              <w:left w:val="single" w:color="000000" w:sz="6" w:space="0"/>
              <w:bottom w:val="nil"/>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25±0.02</w:t>
            </w:r>
            <w:r>
              <w:rPr>
                <w:rFonts w:ascii="Times New Roman" w:hAnsi="Times New Roman" w:eastAsia="Arial" w:cs="Times New Roman"/>
                <w:sz w:val="24"/>
                <w:szCs w:val="24"/>
                <w:vertAlign w:val="superscript"/>
              </w:rPr>
              <w:t xml:space="preserve"> a</w:t>
            </w:r>
            <w:r>
              <w:rPr>
                <w:rFonts w:ascii="Times New Roman" w:hAnsi="Times New Roman" w:eastAsia="Arial" w:cs="Times New Roman"/>
                <w:sz w:val="24"/>
                <w:szCs w:val="24"/>
              </w:rPr>
              <w:t xml:space="preserve"> </w:t>
            </w:r>
          </w:p>
        </w:tc>
      </w:tr>
      <w:tr>
        <w:tblPrEx>
          <w:tblCellMar>
            <w:top w:w="0" w:type="dxa"/>
            <w:left w:w="108" w:type="dxa"/>
            <w:bottom w:w="0" w:type="dxa"/>
            <w:right w:w="115" w:type="dxa"/>
          </w:tblCellMar>
        </w:tblPrEx>
        <w:trPr>
          <w:trHeight w:val="243" w:hRule="atLeast"/>
        </w:trPr>
        <w:tc>
          <w:tcPr>
            <w:tcW w:w="1298" w:type="dxa"/>
            <w:tcBorders>
              <w:top w:val="nil"/>
              <w:left w:val="single" w:color="000000" w:sz="6" w:space="0"/>
              <w:bottom w:val="single" w:color="000000" w:sz="6" w:space="0"/>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b/>
                <w:sz w:val="24"/>
                <w:szCs w:val="24"/>
              </w:rPr>
              <w:t xml:space="preserve">V </w:t>
            </w:r>
          </w:p>
        </w:tc>
        <w:tc>
          <w:tcPr>
            <w:tcW w:w="1934" w:type="dxa"/>
            <w:tcBorders>
              <w:top w:val="nil"/>
              <w:left w:val="single" w:color="000000" w:sz="6" w:space="0"/>
              <w:bottom w:val="single" w:color="000000" w:sz="6" w:space="0"/>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6.4±0.08</w:t>
            </w:r>
            <w:r>
              <w:rPr>
                <w:rFonts w:ascii="Times New Roman" w:hAnsi="Times New Roman" w:eastAsia="Arial" w:cs="Times New Roman"/>
                <w:sz w:val="24"/>
                <w:szCs w:val="24"/>
                <w:vertAlign w:val="superscript"/>
              </w:rPr>
              <w:t xml:space="preserve">b </w:t>
            </w:r>
          </w:p>
        </w:tc>
        <w:tc>
          <w:tcPr>
            <w:tcW w:w="1980" w:type="dxa"/>
            <w:tcBorders>
              <w:top w:val="nil"/>
              <w:left w:val="single" w:color="000000" w:sz="6" w:space="0"/>
              <w:bottom w:val="single" w:color="000000" w:sz="6" w:space="0"/>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4.40±0.00</w:t>
            </w:r>
            <w:r>
              <w:rPr>
                <w:rFonts w:ascii="Times New Roman" w:hAnsi="Times New Roman" w:eastAsia="Arial" w:cs="Times New Roman"/>
                <w:sz w:val="24"/>
                <w:szCs w:val="24"/>
                <w:vertAlign w:val="superscript"/>
              </w:rPr>
              <w:t xml:space="preserve"> b</w:t>
            </w:r>
            <w:r>
              <w:rPr>
                <w:rFonts w:ascii="Times New Roman" w:hAnsi="Times New Roman" w:eastAsia="Arial" w:cs="Times New Roman"/>
                <w:sz w:val="24"/>
                <w:szCs w:val="24"/>
              </w:rPr>
              <w:t xml:space="preserve">  </w:t>
            </w:r>
          </w:p>
        </w:tc>
        <w:tc>
          <w:tcPr>
            <w:tcW w:w="1530" w:type="dxa"/>
            <w:tcBorders>
              <w:top w:val="nil"/>
              <w:left w:val="single" w:color="000000" w:sz="6" w:space="0"/>
              <w:bottom w:val="single" w:color="000000" w:sz="6" w:space="0"/>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2.20±0.00</w:t>
            </w:r>
            <w:r>
              <w:rPr>
                <w:rFonts w:ascii="Times New Roman" w:hAnsi="Times New Roman" w:eastAsia="Arial" w:cs="Times New Roman"/>
                <w:sz w:val="24"/>
                <w:szCs w:val="24"/>
                <w:vertAlign w:val="superscript"/>
              </w:rPr>
              <w:t xml:space="preserve"> b</w:t>
            </w:r>
            <w:r>
              <w:rPr>
                <w:rFonts w:ascii="Times New Roman" w:hAnsi="Times New Roman" w:eastAsia="Arial" w:cs="Times New Roman"/>
                <w:sz w:val="24"/>
                <w:szCs w:val="24"/>
              </w:rPr>
              <w:t xml:space="preserve">  </w:t>
            </w:r>
          </w:p>
        </w:tc>
        <w:tc>
          <w:tcPr>
            <w:tcW w:w="1636" w:type="dxa"/>
            <w:tcBorders>
              <w:top w:val="nil"/>
              <w:left w:val="single" w:color="000000" w:sz="6" w:space="0"/>
              <w:bottom w:val="single" w:color="000000" w:sz="6" w:space="0"/>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0.62±0.04</w:t>
            </w:r>
            <w:r>
              <w:rPr>
                <w:rFonts w:ascii="Times New Roman" w:hAnsi="Times New Roman" w:eastAsia="Arial" w:cs="Times New Roman"/>
                <w:sz w:val="24"/>
                <w:szCs w:val="24"/>
                <w:vertAlign w:val="superscript"/>
              </w:rPr>
              <w:t xml:space="preserve"> b</w:t>
            </w:r>
          </w:p>
        </w:tc>
        <w:tc>
          <w:tcPr>
            <w:tcW w:w="1188" w:type="dxa"/>
            <w:tcBorders>
              <w:top w:val="nil"/>
              <w:left w:val="single" w:color="000000" w:sz="6" w:space="0"/>
              <w:bottom w:val="single" w:color="000000" w:sz="6" w:space="0"/>
              <w:right w:val="single" w:color="000000" w:sz="6" w:space="0"/>
            </w:tcBorders>
          </w:tcPr>
          <w:p>
            <w:pPr>
              <w:jc w:val="center"/>
              <w:rPr>
                <w:rFonts w:ascii="Times New Roman" w:hAnsi="Times New Roman" w:cs="Times New Roman"/>
                <w:sz w:val="24"/>
                <w:szCs w:val="24"/>
              </w:rPr>
            </w:pPr>
            <w:r>
              <w:rPr>
                <w:rFonts w:ascii="Times New Roman" w:hAnsi="Times New Roman" w:eastAsia="Arial" w:cs="Times New Roman"/>
                <w:sz w:val="24"/>
                <w:szCs w:val="24"/>
              </w:rPr>
              <w:t>40±0.03</w:t>
            </w:r>
            <w:r>
              <w:rPr>
                <w:rFonts w:ascii="Times New Roman" w:hAnsi="Times New Roman" w:eastAsia="Arial" w:cs="Times New Roman"/>
                <w:sz w:val="24"/>
                <w:szCs w:val="24"/>
                <w:vertAlign w:val="superscript"/>
              </w:rPr>
              <w:t xml:space="preserve"> b</w:t>
            </w:r>
            <w:r>
              <w:rPr>
                <w:rFonts w:ascii="Times New Roman" w:hAnsi="Times New Roman" w:eastAsia="Arial" w:cs="Times New Roman"/>
                <w:sz w:val="24"/>
                <w:szCs w:val="24"/>
              </w:rPr>
              <w:t xml:space="preserve">  </w:t>
            </w:r>
          </w:p>
        </w:tc>
      </w:tr>
    </w:tbl>
    <w:p>
      <w:pPr>
        <w:spacing w:line="240" w:lineRule="auto"/>
        <w:ind w:left="720"/>
      </w:pPr>
      <w:r>
        <w:rPr>
          <w:rFonts w:ascii="Times New Roman" w:hAnsi="Times New Roman" w:eastAsia="Arial" w:cs="Times New Roman"/>
        </w:rPr>
        <w:t>n=5 Values with different superscript are Significantly different at p&lt;0.05</w:t>
      </w:r>
      <w:r>
        <w:rPr>
          <w:rFonts w:ascii="Arial" w:hAnsi="Arial" w:eastAsia="Arial" w:cs="Arial"/>
          <w:sz w:val="16"/>
        </w:rPr>
        <w:t xml:space="preserve"> </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eastAsia="Arial" w:cs="Times New Roman"/>
          <w:b/>
          <w:sz w:val="24"/>
          <w:szCs w:val="24"/>
        </w:rPr>
        <w:t xml:space="preserve">Table 4. </w:t>
      </w:r>
      <w:r>
        <w:rPr>
          <w:rFonts w:ascii="Times New Roman" w:hAnsi="Times New Roman" w:eastAsia="Arial" w:cs="Times New Roman"/>
          <w:sz w:val="24"/>
          <w:szCs w:val="24"/>
        </w:rPr>
        <w:t>Effect of</w:t>
      </w:r>
      <w:r>
        <w:rPr>
          <w:rFonts w:hint="default" w:ascii="Times New Roman" w:hAnsi="Times New Roman" w:eastAsia="Arial" w:cs="Times New Roman"/>
          <w:sz w:val="24"/>
          <w:szCs w:val="24"/>
          <w:lang w:val="en-US"/>
        </w:rPr>
        <w:t xml:space="preserve"> </w:t>
      </w:r>
      <w:r>
        <w:rPr>
          <w:rFonts w:ascii="Times New Roman" w:hAnsi="Times New Roman" w:eastAsia="Arial" w:cs="Times New Roman"/>
          <w:sz w:val="24"/>
          <w:szCs w:val="24"/>
        </w:rPr>
        <w:t>Phytocystatin</w:t>
      </w:r>
      <w:r>
        <w:rPr>
          <w:rFonts w:hint="default" w:ascii="Times New Roman" w:hAnsi="Times New Roman" w:eastAsia="Arial" w:cs="Times New Roman"/>
          <w:sz w:val="24"/>
          <w:szCs w:val="24"/>
          <w:lang w:val="en-US"/>
        </w:rPr>
        <w:t xml:space="preserve"> Extract from</w:t>
      </w:r>
      <w:r>
        <w:rPr>
          <w:rFonts w:ascii="Times New Roman" w:hAnsi="Times New Roman" w:eastAsia="Arial" w:cs="Times New Roman"/>
          <w:sz w:val="24"/>
          <w:szCs w:val="24"/>
        </w:rPr>
        <w:t xml:space="preserve"> </w:t>
      </w:r>
      <w:r>
        <w:rPr>
          <w:rFonts w:ascii="Times New Roman" w:hAnsi="Times New Roman" w:eastAsia="Arial" w:cs="Times New Roman"/>
          <w:i/>
          <w:sz w:val="24"/>
          <w:szCs w:val="24"/>
        </w:rPr>
        <w:t>M.oleifera</w:t>
      </w:r>
      <w:r>
        <w:rPr>
          <w:rFonts w:ascii="Times New Roman" w:hAnsi="Times New Roman" w:eastAsia="Arial" w:cs="Times New Roman"/>
          <w:sz w:val="24"/>
          <w:szCs w:val="24"/>
        </w:rPr>
        <w:t xml:space="preserve"> </w:t>
      </w:r>
      <w:r>
        <w:rPr>
          <w:rFonts w:hint="default" w:ascii="Times New Roman" w:hAnsi="Times New Roman" w:eastAsia="Arial" w:cs="Times New Roman"/>
          <w:sz w:val="24"/>
          <w:szCs w:val="24"/>
          <w:lang w:val="en-US"/>
        </w:rPr>
        <w:t xml:space="preserve"> Leaf </w:t>
      </w:r>
      <w:r>
        <w:rPr>
          <w:rFonts w:ascii="Times New Roman" w:hAnsi="Times New Roman" w:eastAsia="Arial" w:cs="Times New Roman"/>
          <w:sz w:val="24"/>
          <w:szCs w:val="24"/>
        </w:rPr>
        <w:t xml:space="preserve">on some biochemical parameters of mice infected with </w:t>
      </w:r>
      <w:r>
        <w:rPr>
          <w:rFonts w:ascii="Times New Roman" w:hAnsi="Times New Roman" w:eastAsia="Arial" w:cs="Times New Roman"/>
          <w:i/>
          <w:sz w:val="24"/>
          <w:szCs w:val="24"/>
        </w:rPr>
        <w:t xml:space="preserve">plasmodium </w:t>
      </w:r>
      <w:r>
        <w:rPr>
          <w:rFonts w:ascii="Times New Roman" w:hAnsi="Times New Roman" w:eastAsia="Arial" w:cs="Times New Roman"/>
          <w:sz w:val="24"/>
          <w:szCs w:val="24"/>
        </w:rPr>
        <w:t>on day 10 post treatment</w:t>
      </w:r>
    </w:p>
    <w:p>
      <w:pPr>
        <w:spacing w:line="360" w:lineRule="auto"/>
        <w:rPr>
          <w:rFonts w:ascii="Times New Roman" w:hAnsi="Times New Roman" w:cs="Times New Roman"/>
          <w:sz w:val="24"/>
          <w:szCs w:val="24"/>
        </w:rPr>
      </w:pPr>
    </w:p>
    <w:tbl>
      <w:tblPr>
        <w:tblStyle w:val="7"/>
        <w:tblW w:w="8635" w:type="dxa"/>
        <w:tblInd w:w="0" w:type="dxa"/>
        <w:tblLayout w:type="autofit"/>
        <w:tblCellMar>
          <w:top w:w="0" w:type="dxa"/>
          <w:left w:w="156" w:type="dxa"/>
          <w:bottom w:w="0" w:type="dxa"/>
          <w:right w:w="115" w:type="dxa"/>
        </w:tblCellMar>
      </w:tblPr>
      <w:tblGrid>
        <w:gridCol w:w="958"/>
        <w:gridCol w:w="1406"/>
        <w:gridCol w:w="1572"/>
        <w:gridCol w:w="1558"/>
        <w:gridCol w:w="1843"/>
        <w:gridCol w:w="1298"/>
      </w:tblGrid>
      <w:tr>
        <w:tblPrEx>
          <w:tblCellMar>
            <w:top w:w="0" w:type="dxa"/>
            <w:left w:w="156" w:type="dxa"/>
            <w:bottom w:w="0" w:type="dxa"/>
            <w:right w:w="115" w:type="dxa"/>
          </w:tblCellMar>
        </w:tblPrEx>
        <w:trPr>
          <w:trHeight w:val="509" w:hRule="atLeast"/>
        </w:trPr>
        <w:tc>
          <w:tcPr>
            <w:tcW w:w="958" w:type="dxa"/>
            <w:tcBorders>
              <w:top w:val="single" w:color="000000" w:sz="6" w:space="0"/>
              <w:left w:val="single" w:color="000000" w:sz="6" w:space="0"/>
              <w:bottom w:val="single" w:color="000000" w:sz="6" w:space="0"/>
              <w:right w:val="single" w:color="000000" w:sz="6" w:space="0"/>
            </w:tcBorders>
          </w:tcPr>
          <w:p>
            <w:pPr>
              <w:ind w:left="2"/>
            </w:pPr>
            <w:r>
              <w:rPr>
                <w:rFonts w:ascii="Arial" w:hAnsi="Arial" w:eastAsia="Arial" w:cs="Arial"/>
                <w:b/>
                <w:sz w:val="18"/>
              </w:rPr>
              <w:t xml:space="preserve">Groups </w:t>
            </w:r>
          </w:p>
        </w:tc>
        <w:tc>
          <w:tcPr>
            <w:tcW w:w="1406" w:type="dxa"/>
            <w:tcBorders>
              <w:top w:val="single" w:color="000000" w:sz="6" w:space="0"/>
              <w:left w:val="single" w:color="000000" w:sz="6" w:space="0"/>
              <w:bottom w:val="single" w:color="000000" w:sz="6" w:space="0"/>
              <w:right w:val="single" w:color="000000" w:sz="6" w:space="0"/>
            </w:tcBorders>
          </w:tcPr>
          <w:p>
            <w:pPr>
              <w:jc w:val="center"/>
            </w:pPr>
            <w:r>
              <w:rPr>
                <w:rFonts w:ascii="Arial" w:hAnsi="Arial" w:eastAsia="Arial" w:cs="Arial"/>
                <w:b/>
                <w:sz w:val="18"/>
              </w:rPr>
              <w:t xml:space="preserve">Protein conc (mg/dL) </w:t>
            </w:r>
          </w:p>
        </w:tc>
        <w:tc>
          <w:tcPr>
            <w:tcW w:w="1572" w:type="dxa"/>
            <w:tcBorders>
              <w:top w:val="single" w:color="000000" w:sz="6" w:space="0"/>
              <w:left w:val="single" w:color="000000" w:sz="6" w:space="0"/>
              <w:bottom w:val="single" w:color="000000" w:sz="6" w:space="0"/>
              <w:right w:val="single" w:color="000000" w:sz="6" w:space="0"/>
            </w:tcBorders>
          </w:tcPr>
          <w:p>
            <w:pPr>
              <w:jc w:val="center"/>
            </w:pPr>
            <w:r>
              <w:rPr>
                <w:rFonts w:ascii="Arial" w:hAnsi="Arial" w:eastAsia="Arial" w:cs="Arial"/>
                <w:b/>
                <w:sz w:val="18"/>
              </w:rPr>
              <w:t xml:space="preserve">Albumin conc. (mg/dL) </w:t>
            </w:r>
          </w:p>
        </w:tc>
        <w:tc>
          <w:tcPr>
            <w:tcW w:w="1558" w:type="dxa"/>
            <w:tcBorders>
              <w:top w:val="single" w:color="000000" w:sz="6" w:space="0"/>
              <w:left w:val="single" w:color="000000" w:sz="6" w:space="0"/>
              <w:bottom w:val="single" w:color="000000" w:sz="6" w:space="0"/>
              <w:right w:val="single" w:color="000000" w:sz="6" w:space="0"/>
            </w:tcBorders>
          </w:tcPr>
          <w:p>
            <w:pPr>
              <w:ind w:left="48" w:right="37"/>
              <w:jc w:val="center"/>
            </w:pPr>
            <w:r>
              <w:rPr>
                <w:rFonts w:ascii="Arial" w:hAnsi="Arial" w:eastAsia="Arial" w:cs="Arial"/>
                <w:b/>
                <w:sz w:val="18"/>
              </w:rPr>
              <w:t xml:space="preserve">Globulin conc (mg/dl) </w:t>
            </w:r>
          </w:p>
        </w:tc>
        <w:tc>
          <w:tcPr>
            <w:tcW w:w="1843" w:type="dxa"/>
            <w:tcBorders>
              <w:top w:val="single" w:color="000000" w:sz="6" w:space="0"/>
              <w:left w:val="single" w:color="000000" w:sz="6" w:space="0"/>
              <w:bottom w:val="single" w:color="000000" w:sz="6" w:space="0"/>
              <w:right w:val="single" w:color="000000" w:sz="6" w:space="0"/>
            </w:tcBorders>
          </w:tcPr>
          <w:p>
            <w:pPr>
              <w:jc w:val="center"/>
            </w:pPr>
            <w:r>
              <w:rPr>
                <w:rFonts w:ascii="Arial" w:hAnsi="Arial" w:eastAsia="Arial" w:cs="Arial"/>
                <w:b/>
                <w:sz w:val="18"/>
              </w:rPr>
              <w:t xml:space="preserve">Free fatty acid conc. (mg/dl) </w:t>
            </w:r>
          </w:p>
        </w:tc>
        <w:tc>
          <w:tcPr>
            <w:tcW w:w="1298" w:type="dxa"/>
            <w:tcBorders>
              <w:top w:val="single" w:color="000000" w:sz="6" w:space="0"/>
              <w:left w:val="single" w:color="000000" w:sz="6" w:space="0"/>
              <w:bottom w:val="single" w:color="000000" w:sz="6" w:space="0"/>
              <w:right w:val="single" w:color="000000" w:sz="6" w:space="0"/>
            </w:tcBorders>
          </w:tcPr>
          <w:p>
            <w:r>
              <w:rPr>
                <w:rFonts w:ascii="Arial" w:hAnsi="Arial" w:eastAsia="Arial" w:cs="Arial"/>
                <w:b/>
                <w:sz w:val="18"/>
              </w:rPr>
              <w:t xml:space="preserve">PCV values </w:t>
            </w:r>
          </w:p>
        </w:tc>
      </w:tr>
      <w:tr>
        <w:tblPrEx>
          <w:tblCellMar>
            <w:top w:w="0" w:type="dxa"/>
            <w:left w:w="156" w:type="dxa"/>
            <w:bottom w:w="0" w:type="dxa"/>
            <w:right w:w="115" w:type="dxa"/>
          </w:tblCellMar>
        </w:tblPrEx>
        <w:trPr>
          <w:trHeight w:val="275" w:hRule="atLeast"/>
        </w:trPr>
        <w:tc>
          <w:tcPr>
            <w:tcW w:w="958" w:type="dxa"/>
            <w:tcBorders>
              <w:top w:val="single" w:color="000000" w:sz="6" w:space="0"/>
              <w:left w:val="single" w:color="000000" w:sz="6" w:space="0"/>
              <w:bottom w:val="nil"/>
              <w:right w:val="single" w:color="000000" w:sz="6" w:space="0"/>
            </w:tcBorders>
          </w:tcPr>
          <w:p>
            <w:pPr>
              <w:jc w:val="center"/>
            </w:pPr>
            <w:r>
              <w:rPr>
                <w:rFonts w:ascii="Arial" w:hAnsi="Arial" w:eastAsia="Arial" w:cs="Arial"/>
                <w:b/>
                <w:sz w:val="18"/>
              </w:rPr>
              <w:t xml:space="preserve">I </w:t>
            </w:r>
          </w:p>
        </w:tc>
        <w:tc>
          <w:tcPr>
            <w:tcW w:w="1406" w:type="dxa"/>
            <w:tcBorders>
              <w:top w:val="single" w:color="000000" w:sz="6" w:space="0"/>
              <w:left w:val="single" w:color="000000" w:sz="6" w:space="0"/>
              <w:bottom w:val="nil"/>
              <w:right w:val="single" w:color="000000" w:sz="6" w:space="0"/>
            </w:tcBorders>
          </w:tcPr>
          <w:p>
            <w:pPr>
              <w:jc w:val="center"/>
            </w:pPr>
            <w:r>
              <w:rPr>
                <w:rFonts w:ascii="Arial" w:hAnsi="Arial" w:eastAsia="Arial" w:cs="Arial"/>
                <w:sz w:val="18"/>
              </w:rPr>
              <w:t xml:space="preserve">6.80±0.04 </w:t>
            </w:r>
          </w:p>
        </w:tc>
        <w:tc>
          <w:tcPr>
            <w:tcW w:w="1572" w:type="dxa"/>
            <w:tcBorders>
              <w:top w:val="single" w:color="000000" w:sz="6" w:space="0"/>
              <w:left w:val="single" w:color="000000" w:sz="6" w:space="0"/>
              <w:bottom w:val="nil"/>
              <w:right w:val="single" w:color="000000" w:sz="6" w:space="0"/>
            </w:tcBorders>
          </w:tcPr>
          <w:p>
            <w:pPr>
              <w:jc w:val="center"/>
            </w:pPr>
            <w:r>
              <w:rPr>
                <w:rFonts w:ascii="Arial" w:hAnsi="Arial" w:eastAsia="Arial" w:cs="Arial"/>
                <w:sz w:val="18"/>
              </w:rPr>
              <w:t xml:space="preserve">4.10±0.04 </w:t>
            </w:r>
          </w:p>
        </w:tc>
        <w:tc>
          <w:tcPr>
            <w:tcW w:w="1558" w:type="dxa"/>
            <w:tcBorders>
              <w:top w:val="single" w:color="000000" w:sz="6" w:space="0"/>
              <w:left w:val="single" w:color="000000" w:sz="6" w:space="0"/>
              <w:bottom w:val="nil"/>
              <w:right w:val="single" w:color="000000" w:sz="6" w:space="0"/>
            </w:tcBorders>
          </w:tcPr>
          <w:p>
            <w:pPr>
              <w:jc w:val="center"/>
            </w:pPr>
            <w:r>
              <w:rPr>
                <w:rFonts w:ascii="Arial" w:hAnsi="Arial" w:eastAsia="Arial" w:cs="Arial"/>
                <w:sz w:val="18"/>
              </w:rPr>
              <w:t>2.80</w:t>
            </w:r>
            <w:r>
              <w:rPr>
                <w:rFonts w:ascii="Arial" w:hAnsi="Arial" w:eastAsia="Arial" w:cs="Arial"/>
                <w:b/>
                <w:sz w:val="18"/>
              </w:rPr>
              <w:t xml:space="preserve"> </w:t>
            </w:r>
            <w:r>
              <w:rPr>
                <w:rFonts w:ascii="Arial" w:hAnsi="Arial" w:eastAsia="Arial" w:cs="Arial"/>
                <w:sz w:val="18"/>
              </w:rPr>
              <w:t>±0.45</w:t>
            </w:r>
            <w:r>
              <w:rPr>
                <w:rFonts w:ascii="Arial" w:hAnsi="Arial" w:eastAsia="Arial" w:cs="Arial"/>
                <w:b/>
                <w:sz w:val="18"/>
              </w:rPr>
              <w:t xml:space="preserve"> </w:t>
            </w:r>
          </w:p>
        </w:tc>
        <w:tc>
          <w:tcPr>
            <w:tcW w:w="1843" w:type="dxa"/>
            <w:tcBorders>
              <w:top w:val="single" w:color="000000" w:sz="6" w:space="0"/>
              <w:left w:val="single" w:color="000000" w:sz="6" w:space="0"/>
              <w:bottom w:val="nil"/>
              <w:right w:val="single" w:color="000000" w:sz="6" w:space="0"/>
            </w:tcBorders>
          </w:tcPr>
          <w:p>
            <w:pPr>
              <w:jc w:val="center"/>
            </w:pPr>
            <w:r>
              <w:rPr>
                <w:rFonts w:ascii="Arial" w:hAnsi="Arial" w:eastAsia="Arial" w:cs="Arial"/>
                <w:sz w:val="18"/>
              </w:rPr>
              <w:t xml:space="preserve">0.96±0.004** </w:t>
            </w:r>
          </w:p>
        </w:tc>
        <w:tc>
          <w:tcPr>
            <w:tcW w:w="1298" w:type="dxa"/>
            <w:tcBorders>
              <w:top w:val="single" w:color="000000" w:sz="6" w:space="0"/>
              <w:left w:val="single" w:color="000000" w:sz="6" w:space="0"/>
              <w:bottom w:val="nil"/>
              <w:right w:val="single" w:color="000000" w:sz="6" w:space="0"/>
            </w:tcBorders>
          </w:tcPr>
          <w:p>
            <w:pPr>
              <w:jc w:val="center"/>
            </w:pPr>
            <w:r>
              <w:rPr>
                <w:rFonts w:ascii="Arial" w:hAnsi="Arial" w:eastAsia="Arial" w:cs="Arial"/>
                <w:sz w:val="18"/>
              </w:rPr>
              <w:t xml:space="preserve">37±0.09 </w:t>
            </w:r>
          </w:p>
        </w:tc>
      </w:tr>
      <w:tr>
        <w:tblPrEx>
          <w:tblCellMar>
            <w:top w:w="0" w:type="dxa"/>
            <w:left w:w="156" w:type="dxa"/>
            <w:bottom w:w="0" w:type="dxa"/>
            <w:right w:w="115" w:type="dxa"/>
          </w:tblCellMar>
        </w:tblPrEx>
        <w:trPr>
          <w:trHeight w:val="247" w:hRule="atLeast"/>
        </w:trPr>
        <w:tc>
          <w:tcPr>
            <w:tcW w:w="958" w:type="dxa"/>
            <w:tcBorders>
              <w:top w:val="nil"/>
              <w:left w:val="single" w:color="000000" w:sz="6" w:space="0"/>
              <w:bottom w:val="nil"/>
              <w:right w:val="single" w:color="000000" w:sz="6" w:space="0"/>
            </w:tcBorders>
          </w:tcPr>
          <w:p>
            <w:pPr>
              <w:jc w:val="center"/>
            </w:pPr>
            <w:r>
              <w:rPr>
                <w:rFonts w:ascii="Arial" w:hAnsi="Arial" w:eastAsia="Arial" w:cs="Arial"/>
                <w:b/>
                <w:sz w:val="18"/>
              </w:rPr>
              <w:t xml:space="preserve">II </w:t>
            </w:r>
          </w:p>
        </w:tc>
        <w:tc>
          <w:tcPr>
            <w:tcW w:w="1406"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6.30±0.08 </w:t>
            </w:r>
          </w:p>
        </w:tc>
        <w:tc>
          <w:tcPr>
            <w:tcW w:w="1572"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3.90±0.02 </w:t>
            </w:r>
          </w:p>
        </w:tc>
        <w:tc>
          <w:tcPr>
            <w:tcW w:w="1558"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2.45±0.10 </w:t>
            </w:r>
          </w:p>
        </w:tc>
        <w:tc>
          <w:tcPr>
            <w:tcW w:w="1843"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0.99±0.004** </w:t>
            </w:r>
          </w:p>
        </w:tc>
        <w:tc>
          <w:tcPr>
            <w:tcW w:w="1298"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36±0.13 </w:t>
            </w:r>
          </w:p>
        </w:tc>
      </w:tr>
      <w:tr>
        <w:tblPrEx>
          <w:tblCellMar>
            <w:top w:w="0" w:type="dxa"/>
            <w:left w:w="156" w:type="dxa"/>
            <w:bottom w:w="0" w:type="dxa"/>
            <w:right w:w="115" w:type="dxa"/>
          </w:tblCellMar>
        </w:tblPrEx>
        <w:trPr>
          <w:trHeight w:val="247" w:hRule="atLeast"/>
        </w:trPr>
        <w:tc>
          <w:tcPr>
            <w:tcW w:w="958" w:type="dxa"/>
            <w:tcBorders>
              <w:top w:val="nil"/>
              <w:left w:val="single" w:color="000000" w:sz="6" w:space="0"/>
              <w:bottom w:val="nil"/>
              <w:right w:val="single" w:color="000000" w:sz="6" w:space="0"/>
            </w:tcBorders>
          </w:tcPr>
          <w:p>
            <w:pPr>
              <w:jc w:val="center"/>
            </w:pPr>
            <w:r>
              <w:rPr>
                <w:rFonts w:ascii="Arial" w:hAnsi="Arial" w:eastAsia="Arial" w:cs="Arial"/>
                <w:b/>
                <w:sz w:val="18"/>
              </w:rPr>
              <w:t xml:space="preserve">III </w:t>
            </w:r>
          </w:p>
        </w:tc>
        <w:tc>
          <w:tcPr>
            <w:tcW w:w="1406"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5.70±0.00 </w:t>
            </w:r>
          </w:p>
        </w:tc>
        <w:tc>
          <w:tcPr>
            <w:tcW w:w="1572"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3.10±0.04 </w:t>
            </w:r>
          </w:p>
        </w:tc>
        <w:tc>
          <w:tcPr>
            <w:tcW w:w="1558"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2.70±0.04 </w:t>
            </w:r>
          </w:p>
        </w:tc>
        <w:tc>
          <w:tcPr>
            <w:tcW w:w="1843"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1.01±0.08 </w:t>
            </w:r>
          </w:p>
        </w:tc>
        <w:tc>
          <w:tcPr>
            <w:tcW w:w="1298"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34±0.07 </w:t>
            </w:r>
          </w:p>
        </w:tc>
      </w:tr>
      <w:tr>
        <w:tblPrEx>
          <w:tblCellMar>
            <w:top w:w="0" w:type="dxa"/>
            <w:left w:w="156" w:type="dxa"/>
            <w:bottom w:w="0" w:type="dxa"/>
            <w:right w:w="115" w:type="dxa"/>
          </w:tblCellMar>
        </w:tblPrEx>
        <w:trPr>
          <w:trHeight w:val="247" w:hRule="atLeast"/>
        </w:trPr>
        <w:tc>
          <w:tcPr>
            <w:tcW w:w="958" w:type="dxa"/>
            <w:tcBorders>
              <w:top w:val="nil"/>
              <w:left w:val="single" w:color="000000" w:sz="6" w:space="0"/>
              <w:bottom w:val="nil"/>
              <w:right w:val="single" w:color="000000" w:sz="6" w:space="0"/>
            </w:tcBorders>
          </w:tcPr>
          <w:p>
            <w:pPr>
              <w:jc w:val="center"/>
            </w:pPr>
            <w:bookmarkStart w:id="0" w:name="_GoBack"/>
            <w:bookmarkEnd w:id="0"/>
            <w:r>
              <w:rPr>
                <w:rFonts w:ascii="Arial" w:hAnsi="Arial" w:eastAsia="Arial" w:cs="Arial"/>
                <w:b/>
                <w:sz w:val="18"/>
              </w:rPr>
              <w:t xml:space="preserve">IV </w:t>
            </w:r>
          </w:p>
        </w:tc>
        <w:tc>
          <w:tcPr>
            <w:tcW w:w="1406" w:type="dxa"/>
            <w:tcBorders>
              <w:top w:val="nil"/>
              <w:left w:val="single" w:color="000000" w:sz="6" w:space="0"/>
              <w:bottom w:val="nil"/>
              <w:right w:val="single" w:color="000000" w:sz="6" w:space="0"/>
            </w:tcBorders>
          </w:tcPr>
          <w:p>
            <w:pPr>
              <w:jc w:val="center"/>
            </w:pPr>
            <w:r>
              <w:rPr>
                <w:rFonts w:ascii="Arial" w:hAnsi="Arial" w:eastAsia="Arial" w:cs="Arial"/>
                <w:sz w:val="18"/>
              </w:rPr>
              <w:t>4.90 ±0.00</w:t>
            </w:r>
          </w:p>
        </w:tc>
        <w:tc>
          <w:tcPr>
            <w:tcW w:w="1572"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2.80±0.02 </w:t>
            </w:r>
          </w:p>
        </w:tc>
        <w:tc>
          <w:tcPr>
            <w:tcW w:w="1558"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2.90±0.03  </w:t>
            </w:r>
          </w:p>
        </w:tc>
        <w:tc>
          <w:tcPr>
            <w:tcW w:w="1843"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1.05±0.07  </w:t>
            </w:r>
          </w:p>
        </w:tc>
        <w:tc>
          <w:tcPr>
            <w:tcW w:w="1298" w:type="dxa"/>
            <w:tcBorders>
              <w:top w:val="nil"/>
              <w:left w:val="single" w:color="000000" w:sz="6" w:space="0"/>
              <w:bottom w:val="nil"/>
              <w:right w:val="single" w:color="000000" w:sz="6" w:space="0"/>
            </w:tcBorders>
          </w:tcPr>
          <w:p>
            <w:pPr>
              <w:jc w:val="center"/>
            </w:pPr>
            <w:r>
              <w:rPr>
                <w:rFonts w:ascii="Arial" w:hAnsi="Arial" w:eastAsia="Arial" w:cs="Arial"/>
                <w:sz w:val="18"/>
              </w:rPr>
              <w:t xml:space="preserve">24±0.17  </w:t>
            </w:r>
          </w:p>
        </w:tc>
      </w:tr>
      <w:tr>
        <w:tblPrEx>
          <w:tblCellMar>
            <w:top w:w="0" w:type="dxa"/>
            <w:left w:w="156" w:type="dxa"/>
            <w:bottom w:w="0" w:type="dxa"/>
            <w:right w:w="115" w:type="dxa"/>
          </w:tblCellMar>
        </w:tblPrEx>
        <w:trPr>
          <w:trHeight w:val="234" w:hRule="atLeast"/>
        </w:trPr>
        <w:tc>
          <w:tcPr>
            <w:tcW w:w="958" w:type="dxa"/>
            <w:tcBorders>
              <w:top w:val="nil"/>
              <w:left w:val="single" w:color="000000" w:sz="6" w:space="0"/>
              <w:bottom w:val="single" w:color="000000" w:sz="6" w:space="0"/>
              <w:right w:val="single" w:color="000000" w:sz="6" w:space="0"/>
            </w:tcBorders>
          </w:tcPr>
          <w:p>
            <w:pPr>
              <w:jc w:val="center"/>
            </w:pPr>
            <w:r>
              <w:rPr>
                <w:rFonts w:ascii="Arial" w:hAnsi="Arial" w:eastAsia="Arial" w:cs="Arial"/>
                <w:b/>
                <w:sz w:val="18"/>
              </w:rPr>
              <w:t xml:space="preserve">V </w:t>
            </w:r>
          </w:p>
        </w:tc>
        <w:tc>
          <w:tcPr>
            <w:tcW w:w="1406" w:type="dxa"/>
            <w:tcBorders>
              <w:top w:val="nil"/>
              <w:left w:val="single" w:color="000000" w:sz="6" w:space="0"/>
              <w:bottom w:val="single" w:color="000000" w:sz="6" w:space="0"/>
              <w:right w:val="single" w:color="000000" w:sz="6" w:space="0"/>
            </w:tcBorders>
          </w:tcPr>
          <w:p>
            <w:pPr>
              <w:jc w:val="center"/>
            </w:pPr>
            <w:r>
              <w:rPr>
                <w:rFonts w:ascii="Arial" w:hAnsi="Arial" w:eastAsia="Arial" w:cs="Arial"/>
                <w:sz w:val="18"/>
              </w:rPr>
              <w:t xml:space="preserve">6.40±0.04 </w:t>
            </w:r>
          </w:p>
        </w:tc>
        <w:tc>
          <w:tcPr>
            <w:tcW w:w="1572" w:type="dxa"/>
            <w:tcBorders>
              <w:top w:val="nil"/>
              <w:left w:val="single" w:color="000000" w:sz="6" w:space="0"/>
              <w:bottom w:val="single" w:color="000000" w:sz="6" w:space="0"/>
              <w:right w:val="single" w:color="000000" w:sz="6" w:space="0"/>
            </w:tcBorders>
          </w:tcPr>
          <w:p>
            <w:pPr>
              <w:jc w:val="center"/>
            </w:pPr>
            <w:r>
              <w:rPr>
                <w:rFonts w:ascii="Arial" w:hAnsi="Arial" w:eastAsia="Arial" w:cs="Arial"/>
                <w:sz w:val="18"/>
              </w:rPr>
              <w:t xml:space="preserve">4.20±0.08 </w:t>
            </w:r>
          </w:p>
        </w:tc>
        <w:tc>
          <w:tcPr>
            <w:tcW w:w="1558" w:type="dxa"/>
            <w:tcBorders>
              <w:top w:val="nil"/>
              <w:left w:val="single" w:color="000000" w:sz="6" w:space="0"/>
              <w:bottom w:val="single" w:color="000000" w:sz="6" w:space="0"/>
              <w:right w:val="single" w:color="000000" w:sz="6" w:space="0"/>
            </w:tcBorders>
          </w:tcPr>
          <w:p>
            <w:pPr>
              <w:jc w:val="center"/>
            </w:pPr>
            <w:r>
              <w:rPr>
                <w:rFonts w:ascii="Arial" w:hAnsi="Arial" w:eastAsia="Arial" w:cs="Arial"/>
                <w:sz w:val="18"/>
              </w:rPr>
              <w:t xml:space="preserve">2.20±0.04 </w:t>
            </w:r>
          </w:p>
        </w:tc>
        <w:tc>
          <w:tcPr>
            <w:tcW w:w="1843" w:type="dxa"/>
            <w:tcBorders>
              <w:top w:val="nil"/>
              <w:left w:val="single" w:color="000000" w:sz="6" w:space="0"/>
              <w:bottom w:val="single" w:color="000000" w:sz="6" w:space="0"/>
              <w:right w:val="single" w:color="000000" w:sz="6" w:space="0"/>
            </w:tcBorders>
          </w:tcPr>
          <w:p>
            <w:pPr>
              <w:jc w:val="center"/>
            </w:pPr>
            <w:r>
              <w:rPr>
                <w:rFonts w:ascii="Arial" w:hAnsi="Arial" w:eastAsia="Arial" w:cs="Arial"/>
                <w:sz w:val="18"/>
              </w:rPr>
              <w:t xml:space="preserve">0.63±0.004** </w:t>
            </w:r>
          </w:p>
        </w:tc>
        <w:tc>
          <w:tcPr>
            <w:tcW w:w="1298" w:type="dxa"/>
            <w:tcBorders>
              <w:top w:val="nil"/>
              <w:left w:val="single" w:color="000000" w:sz="6" w:space="0"/>
              <w:bottom w:val="single" w:color="000000" w:sz="6" w:space="0"/>
              <w:right w:val="single" w:color="000000" w:sz="6" w:space="0"/>
            </w:tcBorders>
          </w:tcPr>
          <w:p>
            <w:pPr>
              <w:jc w:val="center"/>
            </w:pPr>
            <w:r>
              <w:rPr>
                <w:rFonts w:ascii="Arial" w:hAnsi="Arial" w:eastAsia="Arial" w:cs="Arial"/>
                <w:sz w:val="18"/>
              </w:rPr>
              <w:t xml:space="preserve">41±0.05 </w:t>
            </w:r>
          </w:p>
        </w:tc>
      </w:tr>
    </w:tbl>
    <w:p>
      <w:pPr>
        <w:spacing w:line="240" w:lineRule="auto"/>
        <w:ind w:left="1080"/>
      </w:pPr>
      <w:r>
        <w:rPr>
          <w:rFonts w:ascii="Arial" w:hAnsi="Arial" w:eastAsia="Arial" w:cs="Arial"/>
          <w:sz w:val="16"/>
        </w:rPr>
        <w:t xml:space="preserve">n=5 </w:t>
      </w:r>
    </w:p>
    <w:p>
      <w:pPr>
        <w:spacing w:line="240" w:lineRule="auto"/>
        <w:ind w:left="1080"/>
      </w:pPr>
      <w:r>
        <w:rPr>
          <w:rFonts w:ascii="Arial" w:hAnsi="Arial" w:eastAsia="Arial" w:cs="Arial"/>
          <w:sz w:val="16"/>
        </w:rPr>
        <w:t xml:space="preserve">** Significantly different from the infected untreated control (group IV) at p&lt;0.05 </w:t>
      </w:r>
    </w:p>
    <w:p>
      <w:pPr>
        <w:spacing w:after="62" w:line="240" w:lineRule="auto"/>
        <w:ind w:left="1080"/>
      </w:pPr>
      <w:r>
        <w:rPr>
          <w:rFonts w:ascii="Arial" w:hAnsi="Arial" w:eastAsia="Arial" w:cs="Arial"/>
          <w:b/>
          <w:sz w:val="16"/>
        </w:rPr>
        <w:t xml:space="preserve"> </w:t>
      </w:r>
    </w:p>
    <w:p>
      <w:pPr>
        <w:spacing w:line="360" w:lineRule="auto"/>
        <w:rPr>
          <w:rFonts w:hint="default" w:ascii="Arial" w:hAnsi="Arial" w:eastAsia="Arial" w:cs="Arial"/>
          <w:sz w:val="16"/>
          <w:lang w:val="en-US"/>
        </w:rPr>
      </w:pPr>
      <w:r>
        <w:rPr>
          <w:rFonts w:ascii="Arial" w:hAnsi="Arial" w:eastAsia="Arial" w:cs="Arial"/>
          <w:sz w:val="16"/>
        </w:rPr>
        <w:t xml:space="preserve">  I   </w:t>
      </w:r>
      <w:r>
        <w:rPr>
          <w:rFonts w:hint="default" w:ascii="Arial" w:hAnsi="Arial" w:eastAsia="Arial" w:cs="Arial"/>
          <w:sz w:val="16"/>
          <w:lang w:val="en-US"/>
        </w:rPr>
        <w:t xml:space="preserve">Animals </w:t>
      </w:r>
      <w:r>
        <w:rPr>
          <w:rFonts w:ascii="Arial" w:hAnsi="Arial" w:eastAsia="Arial" w:cs="Arial"/>
          <w:sz w:val="16"/>
        </w:rPr>
        <w:t xml:space="preserve"> in the group received 500 mg extract/kg body weight 24 h post parasite i</w:t>
      </w:r>
      <w:r>
        <w:rPr>
          <w:rFonts w:hint="default" w:ascii="Arial" w:hAnsi="Arial" w:eastAsia="Arial" w:cs="Arial"/>
          <w:sz w:val="16"/>
          <w:lang w:val="en-US"/>
        </w:rPr>
        <w:t>nfection</w:t>
      </w:r>
    </w:p>
    <w:p>
      <w:pPr>
        <w:spacing w:line="360" w:lineRule="auto"/>
        <w:rPr>
          <w:rFonts w:hint="default" w:ascii="Arial" w:hAnsi="Arial" w:eastAsia="Arial" w:cs="Arial"/>
          <w:sz w:val="16"/>
          <w:lang w:val="en-US"/>
        </w:rPr>
      </w:pPr>
      <w:r>
        <w:rPr>
          <w:rFonts w:ascii="Arial" w:hAnsi="Arial" w:eastAsia="Arial" w:cs="Arial"/>
          <w:sz w:val="16"/>
        </w:rPr>
        <w:t xml:space="preserve">  II   </w:t>
      </w:r>
      <w:r>
        <w:rPr>
          <w:rFonts w:hint="default" w:ascii="Arial" w:hAnsi="Arial" w:eastAsia="Arial" w:cs="Arial"/>
          <w:sz w:val="16"/>
          <w:lang w:val="en-US"/>
        </w:rPr>
        <w:t>Animals</w:t>
      </w:r>
      <w:r>
        <w:rPr>
          <w:rFonts w:ascii="Arial" w:hAnsi="Arial" w:eastAsia="Arial" w:cs="Arial"/>
          <w:sz w:val="16"/>
        </w:rPr>
        <w:t xml:space="preserve"> in the group received 500 mg extract/kg body weight 48 h post parasite in</w:t>
      </w:r>
      <w:r>
        <w:rPr>
          <w:rFonts w:hint="default" w:ascii="Arial" w:hAnsi="Arial" w:eastAsia="Arial" w:cs="Arial"/>
          <w:sz w:val="16"/>
          <w:lang w:val="en-US"/>
        </w:rPr>
        <w:t>fection</w:t>
      </w:r>
    </w:p>
    <w:p>
      <w:pPr>
        <w:spacing w:line="360" w:lineRule="auto"/>
        <w:rPr>
          <w:rFonts w:ascii="Arial" w:hAnsi="Arial" w:eastAsia="Arial" w:cs="Arial"/>
          <w:sz w:val="16"/>
        </w:rPr>
      </w:pPr>
      <w:r>
        <w:rPr>
          <w:rFonts w:ascii="Arial" w:hAnsi="Arial" w:eastAsia="Arial" w:cs="Arial"/>
          <w:sz w:val="16"/>
        </w:rPr>
        <w:t xml:space="preserve">  III  </w:t>
      </w:r>
      <w:r>
        <w:rPr>
          <w:rFonts w:hint="default" w:ascii="Arial" w:hAnsi="Arial" w:eastAsia="Arial" w:cs="Arial"/>
          <w:sz w:val="16"/>
          <w:lang w:val="en-US"/>
        </w:rPr>
        <w:t>Animals</w:t>
      </w:r>
      <w:r>
        <w:rPr>
          <w:rFonts w:ascii="Arial" w:hAnsi="Arial" w:eastAsia="Arial" w:cs="Arial"/>
          <w:sz w:val="16"/>
        </w:rPr>
        <w:t xml:space="preserve"> in the group received 500 mg extract/kg body weight at the establishment of infection </w:t>
      </w:r>
    </w:p>
    <w:p>
      <w:pPr>
        <w:framePr w:wrap="around" w:vAnchor="text" w:hAnchor="margin" w:y="-8489"/>
        <w:suppressOverlap/>
        <w:spacing w:line="240" w:lineRule="auto"/>
      </w:pPr>
    </w:p>
    <w:p>
      <w:pPr>
        <w:spacing w:line="360" w:lineRule="auto"/>
        <w:rPr>
          <w:rFonts w:ascii="Arial" w:hAnsi="Arial" w:eastAsia="Arial" w:cs="Arial"/>
          <w:sz w:val="16"/>
        </w:rPr>
      </w:pPr>
      <w:r>
        <w:rPr>
          <w:rFonts w:ascii="Arial" w:hAnsi="Arial" w:eastAsia="Arial" w:cs="Arial"/>
          <w:sz w:val="16"/>
        </w:rPr>
        <w:t xml:space="preserve">  IV  Mice in the negative control were infected with the parasite but were not treated with the extract </w:t>
      </w:r>
    </w:p>
    <w:p>
      <w:pPr>
        <w:spacing w:line="360" w:lineRule="auto"/>
        <w:rPr>
          <w:rFonts w:ascii="Times New Roman" w:hAnsi="Times New Roman" w:cs="Times New Roman"/>
          <w:sz w:val="24"/>
          <w:szCs w:val="24"/>
        </w:rPr>
      </w:pPr>
      <w:r>
        <w:rPr>
          <w:rFonts w:ascii="Arial" w:hAnsi="Arial" w:eastAsia="Arial" w:cs="Arial"/>
          <w:sz w:val="16"/>
        </w:rPr>
        <w:t xml:space="preserve">  V   Mice Positive controls were neither infected nor treated with the extract. Treatment was daily for </w:t>
      </w:r>
      <w:r>
        <w:rPr>
          <w:rFonts w:hint="default" w:ascii="Arial" w:hAnsi="Arial" w:eastAsia="Arial" w:cs="Arial"/>
          <w:sz w:val="16"/>
          <w:lang w:val="en-US"/>
        </w:rPr>
        <w:t>5</w:t>
      </w:r>
      <w:r>
        <w:rPr>
          <w:rFonts w:ascii="Arial" w:hAnsi="Arial" w:eastAsia="Arial" w:cs="Arial"/>
          <w:sz w:val="16"/>
        </w:rPr>
        <w:t xml:space="preserve"> consecutive day</w:t>
      </w:r>
    </w:p>
    <w:p>
      <w:pPr>
        <w:spacing w:line="360" w:lineRule="auto"/>
        <w:rPr>
          <w:rFonts w:ascii="Times New Roman" w:hAnsi="Times New Roman" w:cs="Times New Roman"/>
          <w:sz w:val="24"/>
          <w:szCs w:val="24"/>
        </w:rPr>
      </w:pPr>
      <w:r>
        <w:rPr>
          <w:rFonts w:ascii="Arial" w:hAnsi="Arial" w:eastAsia="Arial" w:cs="Arial"/>
          <w:sz w:val="16"/>
        </w:rPr>
        <w:t xml:space="preserve"> </w:t>
      </w:r>
    </w:p>
    <w:p>
      <w:pPr>
        <w:spacing w:line="360" w:lineRule="auto"/>
        <w:ind w:left="-5" w:hanging="10"/>
        <w:jc w:val="both"/>
        <w:rPr>
          <w:rFonts w:ascii="Times New Roman" w:hAnsi="Times New Roman" w:cs="Times New Roman"/>
          <w:sz w:val="24"/>
          <w:szCs w:val="24"/>
        </w:rPr>
      </w:pPr>
      <w:r>
        <w:rPr>
          <w:rFonts w:ascii="Times New Roman" w:hAnsi="Times New Roman" w:eastAsia="Arial" w:cs="Times New Roman"/>
          <w:sz w:val="24"/>
          <w:szCs w:val="24"/>
        </w:rPr>
        <w:t xml:space="preserve">The </w:t>
      </w:r>
      <w:r>
        <w:rPr>
          <w:rFonts w:hint="default" w:ascii="Times New Roman" w:hAnsi="Times New Roman" w:eastAsia="Arial" w:cs="Times New Roman"/>
          <w:sz w:val="24"/>
          <w:szCs w:val="24"/>
          <w:lang w:val="en-US"/>
        </w:rPr>
        <w:t xml:space="preserve">crude </w:t>
      </w:r>
      <w:r>
        <w:rPr>
          <w:rFonts w:ascii="Times New Roman" w:hAnsi="Times New Roman" w:eastAsia="Arial" w:cs="Times New Roman"/>
          <w:sz w:val="24"/>
          <w:szCs w:val="24"/>
        </w:rPr>
        <w:t>extract</w:t>
      </w:r>
      <w:r>
        <w:rPr>
          <w:rFonts w:hint="default" w:ascii="Times New Roman" w:hAnsi="Times New Roman" w:eastAsia="Arial" w:cs="Times New Roman"/>
          <w:sz w:val="24"/>
          <w:szCs w:val="24"/>
          <w:lang w:val="en-US"/>
        </w:rPr>
        <w:t xml:space="preserve"> of phytocystatin</w:t>
      </w:r>
      <w:r>
        <w:rPr>
          <w:rFonts w:ascii="Times New Roman" w:hAnsi="Times New Roman" w:eastAsia="Arial" w:cs="Times New Roman"/>
          <w:sz w:val="24"/>
          <w:szCs w:val="24"/>
        </w:rPr>
        <w:t xml:space="preserve">  reduce  the  parasitaemia level significantly time dependently (P&lt;0.05) in all the treated groups when compared with the negative control throughout the duration of</w:t>
      </w:r>
      <w:r>
        <w:rPr>
          <w:rFonts w:hint="default" w:ascii="Times New Roman" w:hAnsi="Times New Roman" w:eastAsia="Arial" w:cs="Times New Roman"/>
          <w:sz w:val="24"/>
          <w:szCs w:val="24"/>
          <w:lang w:val="en-US"/>
        </w:rPr>
        <w:t xml:space="preserve"> study</w:t>
      </w:r>
      <w:r>
        <w:rPr>
          <w:rFonts w:ascii="Times New Roman" w:hAnsi="Times New Roman" w:eastAsia="Arial" w:cs="Times New Roman"/>
          <w:sz w:val="24"/>
          <w:szCs w:val="24"/>
        </w:rPr>
        <w:t xml:space="preserve">(Table 1).  </w:t>
      </w:r>
    </w:p>
    <w:p>
      <w:pPr>
        <w:spacing w:line="360" w:lineRule="auto"/>
        <w:ind w:left="-15" w:firstLine="142"/>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There was a  significant (p&lt;0.05) time dependent increase in total protein, albumin and globulin levels in all the treated groups on days </w:t>
      </w:r>
      <w:r>
        <w:rPr>
          <w:rFonts w:hint="default" w:ascii="Times New Roman" w:hAnsi="Times New Roman" w:eastAsia="Arial" w:cs="Times New Roman"/>
          <w:sz w:val="24"/>
          <w:szCs w:val="24"/>
          <w:lang w:val="en-US"/>
        </w:rPr>
        <w:t>5</w:t>
      </w:r>
      <w:r>
        <w:rPr>
          <w:rFonts w:ascii="Times New Roman" w:hAnsi="Times New Roman" w:eastAsia="Arial" w:cs="Times New Roman"/>
          <w:sz w:val="24"/>
          <w:szCs w:val="24"/>
        </w:rPr>
        <w:t xml:space="preserve">  and 10 post treatment of the study when compared with the infected untreated control (Tables 2 - 4). The free fatty acid levels decreased significantly (p&lt;0.05) in all the treated groups on days 5 and 10 post treatment of the study when compared with the infected untreated control as shown (Tables 2 - 4). The PCV value increased significantly (p&lt;0.05) in the treated groups and the positive control on days 5and 10 post treatment when compared to the negative control. The absence of mortality at dose level of 5000 mg extract/kg body weight shows that the  Phytocystatin extract of </w:t>
      </w:r>
      <w:r>
        <w:rPr>
          <w:rFonts w:ascii="Times New Roman" w:hAnsi="Times New Roman" w:eastAsia="Arial" w:cs="Times New Roman"/>
          <w:i/>
          <w:sz w:val="24"/>
          <w:szCs w:val="24"/>
        </w:rPr>
        <w:t>M.oleifera</w:t>
      </w:r>
      <w:r>
        <w:rPr>
          <w:rFonts w:ascii="Times New Roman" w:hAnsi="Times New Roman" w:eastAsia="Arial" w:cs="Times New Roman"/>
          <w:sz w:val="24"/>
          <w:szCs w:val="24"/>
        </w:rPr>
        <w:t xml:space="preserve"> is non-toxic in mice(Lorkes, 1983) and is therefore safe for use. The results obtained from our study on the anti-plasmodial effect of phytocystatin extract from seed of </w:t>
      </w:r>
      <w:r>
        <w:rPr>
          <w:rFonts w:ascii="Times New Roman" w:hAnsi="Times New Roman" w:eastAsia="Arial" w:cs="Times New Roman"/>
          <w:i/>
          <w:sz w:val="24"/>
          <w:szCs w:val="24"/>
        </w:rPr>
        <w:t>M.oleifera</w:t>
      </w:r>
      <w:r>
        <w:rPr>
          <w:rFonts w:ascii="Times New Roman" w:hAnsi="Times New Roman" w:eastAsia="Arial" w:cs="Times New Roman"/>
          <w:sz w:val="24"/>
          <w:szCs w:val="24"/>
        </w:rPr>
        <w:t xml:space="preserve"> showed that the extract possess</w:t>
      </w:r>
      <w:r>
        <w:rPr>
          <w:rFonts w:ascii="Times New Roman" w:hAnsi="Times New Roman" w:eastAsia="Arial" w:cs="Times New Roman"/>
          <w:b/>
          <w:sz w:val="24"/>
          <w:szCs w:val="24"/>
        </w:rPr>
        <w:t xml:space="preserve"> </w:t>
      </w:r>
      <w:r>
        <w:rPr>
          <w:rFonts w:ascii="Times New Roman" w:hAnsi="Times New Roman" w:eastAsia="Arial" w:cs="Times New Roman"/>
          <w:sz w:val="24"/>
          <w:szCs w:val="24"/>
        </w:rPr>
        <w:t>suppressive effects on plasmodium parasites, since it</w:t>
      </w:r>
      <w:r>
        <w:rPr>
          <w:rFonts w:ascii="Times New Roman" w:hAnsi="Times New Roman" w:eastAsia="Arial" w:cs="Times New Roman"/>
          <w:b/>
          <w:sz w:val="24"/>
          <w:szCs w:val="24"/>
        </w:rPr>
        <w:t xml:space="preserve"> </w:t>
      </w:r>
      <w:r>
        <w:rPr>
          <w:rFonts w:ascii="Times New Roman" w:hAnsi="Times New Roman" w:eastAsia="Arial" w:cs="Times New Roman"/>
          <w:sz w:val="24"/>
          <w:szCs w:val="24"/>
        </w:rPr>
        <w:t xml:space="preserve"> slowed down the rate of proliferation of the parasite. This may be due to the ability of the extract to inhibit prostaglandin biosynthesis as has been reported by Tijani </w:t>
      </w:r>
      <w:r>
        <w:rPr>
          <w:rFonts w:ascii="Times New Roman" w:hAnsi="Times New Roman" w:eastAsia="Arial" w:cs="Times New Roman"/>
          <w:i/>
          <w:iCs/>
          <w:sz w:val="24"/>
          <w:szCs w:val="24"/>
        </w:rPr>
        <w:t>et a</w:t>
      </w:r>
      <w:r>
        <w:rPr>
          <w:rFonts w:ascii="Times New Roman" w:hAnsi="Times New Roman" w:eastAsia="Arial" w:cs="Times New Roman"/>
          <w:sz w:val="24"/>
          <w:szCs w:val="24"/>
        </w:rPr>
        <w:t xml:space="preserve">l. (2008). Previous work by Allison (1978) has shown that inhibitors of prostaglandin synthesis reduces parasitaemia and shortens the time to parasite wave remission. There have been reports of decreased plasma albumin concentrations in several </w:t>
      </w:r>
      <w:r>
        <w:rPr>
          <w:rFonts w:hint="default" w:ascii="Times New Roman" w:hAnsi="Times New Roman" w:eastAsia="Arial" w:cs="Times New Roman"/>
          <w:sz w:val="24"/>
          <w:szCs w:val="24"/>
          <w:lang w:val="en-US"/>
        </w:rPr>
        <w:t>protozoan</w:t>
      </w:r>
      <w:r>
        <w:rPr>
          <w:rFonts w:ascii="Times New Roman" w:hAnsi="Times New Roman" w:eastAsia="Arial" w:cs="Times New Roman"/>
          <w:sz w:val="24"/>
          <w:szCs w:val="24"/>
        </w:rPr>
        <w:t xml:space="preserve"> infections (Anosa, 1988) and this has been linked to either plasma expansion, proteinuria (Bruiju, 1987). The decrease in serum total protein could be attributed to a decrease in serum albumin probably from decreased hepatic biosynthesis. This may be explained that, </w:t>
      </w:r>
      <w:r>
        <w:rPr>
          <w:rFonts w:hint="default" w:ascii="Times New Roman" w:hAnsi="Times New Roman" w:eastAsia="Arial" w:cs="Times New Roman"/>
          <w:sz w:val="24"/>
          <w:szCs w:val="24"/>
          <w:lang w:val="en-US"/>
        </w:rPr>
        <w:t>malaria cause by plasmodium parasites</w:t>
      </w:r>
      <w:r>
        <w:rPr>
          <w:rFonts w:ascii="Times New Roman" w:hAnsi="Times New Roman" w:eastAsia="Arial" w:cs="Times New Roman"/>
          <w:sz w:val="24"/>
          <w:szCs w:val="24"/>
        </w:rPr>
        <w:t xml:space="preserve"> induced an elevation of serum transaminases. This may indicate that </w:t>
      </w:r>
      <w:r>
        <w:rPr>
          <w:rFonts w:ascii="Times New Roman" w:hAnsi="Times New Roman" w:eastAsia="Arial" w:cs="Times New Roman"/>
          <w:i/>
          <w:sz w:val="24"/>
          <w:szCs w:val="24"/>
        </w:rPr>
        <w:t xml:space="preserve">plasmodium </w:t>
      </w:r>
      <w:r>
        <w:rPr>
          <w:rFonts w:ascii="Times New Roman" w:hAnsi="Times New Roman" w:eastAsia="Arial" w:cs="Times New Roman"/>
          <w:sz w:val="24"/>
          <w:szCs w:val="24"/>
        </w:rPr>
        <w:t>infection causes reduction in liver function which includes protein synthesis</w:t>
      </w:r>
      <w:r>
        <w:rPr>
          <w:rFonts w:hint="default" w:ascii="Times New Roman" w:hAnsi="Times New Roman" w:eastAsia="Arial" w:cs="Times New Roman"/>
          <w:sz w:val="24"/>
          <w:szCs w:val="24"/>
          <w:lang w:val="en-US"/>
        </w:rPr>
        <w:t>(</w:t>
      </w:r>
      <w:r>
        <w:rPr>
          <w:rFonts w:ascii="Times New Roman" w:hAnsi="Times New Roman" w:eastAsia="Arial" w:cs="Times New Roman"/>
          <w:sz w:val="24"/>
          <w:szCs w:val="24"/>
        </w:rPr>
        <w:t>Adah</w:t>
      </w:r>
      <w:r>
        <w:rPr>
          <w:rFonts w:ascii="Times New Roman" w:hAnsi="Times New Roman" w:eastAsia="Arial" w:cs="Times New Roman"/>
          <w:i/>
          <w:sz w:val="24"/>
          <w:szCs w:val="24"/>
        </w:rPr>
        <w:t xml:space="preserve"> </w:t>
      </w:r>
      <w:r>
        <w:rPr>
          <w:rFonts w:ascii="Times New Roman" w:hAnsi="Times New Roman" w:eastAsia="Arial" w:cs="Times New Roman"/>
          <w:i/>
          <w:iCs/>
          <w:sz w:val="24"/>
          <w:szCs w:val="24"/>
        </w:rPr>
        <w:t>et al</w:t>
      </w:r>
      <w:r>
        <w:rPr>
          <w:rFonts w:ascii="Times New Roman" w:hAnsi="Times New Roman" w:eastAsia="Arial" w:cs="Times New Roman"/>
          <w:sz w:val="24"/>
          <w:szCs w:val="24"/>
        </w:rPr>
        <w:t>. 1993).</w:t>
      </w:r>
      <w:r>
        <w:rPr>
          <w:rFonts w:ascii="Times New Roman" w:hAnsi="Times New Roman" w:eastAsia="Arial" w:cs="Times New Roman"/>
          <w:i/>
          <w:sz w:val="24"/>
          <w:szCs w:val="24"/>
        </w:rPr>
        <w:t xml:space="preserve"> </w:t>
      </w:r>
      <w:r>
        <w:rPr>
          <w:rFonts w:ascii="Times New Roman" w:hAnsi="Times New Roman" w:eastAsia="Arial" w:cs="Times New Roman"/>
          <w:sz w:val="24"/>
          <w:szCs w:val="24"/>
        </w:rPr>
        <w:t xml:space="preserve">The extract elevated the albumin level in the treated groups which may suggest the ability of the extract to prevent hepatocellular damage caused by the </w:t>
      </w:r>
      <w:r>
        <w:rPr>
          <w:rFonts w:ascii="Times New Roman" w:hAnsi="Times New Roman" w:eastAsia="Arial" w:cs="Times New Roman"/>
          <w:i/>
          <w:sz w:val="24"/>
          <w:szCs w:val="24"/>
        </w:rPr>
        <w:t>plasmodium</w:t>
      </w:r>
      <w:r>
        <w:rPr>
          <w:rFonts w:ascii="Times New Roman" w:hAnsi="Times New Roman" w:eastAsia="Arial" w:cs="Times New Roman"/>
          <w:sz w:val="24"/>
          <w:szCs w:val="24"/>
        </w:rPr>
        <w:t xml:space="preserve"> infection. The elevated albumin level may account for low level of free-fatty acid observed in all the treated groups because free fatty acid normally does not exist in free state in the blood but complexed to serum albumin (Catherine </w:t>
      </w:r>
      <w:r>
        <w:rPr>
          <w:rFonts w:ascii="Times New Roman" w:hAnsi="Times New Roman" w:eastAsia="Arial" w:cs="Times New Roman"/>
          <w:i/>
          <w:sz w:val="24"/>
          <w:szCs w:val="24"/>
        </w:rPr>
        <w:t>et al</w:t>
      </w:r>
      <w:r>
        <w:rPr>
          <w:rFonts w:ascii="Times New Roman" w:hAnsi="Times New Roman" w:eastAsia="Arial" w:cs="Times New Roman"/>
          <w:sz w:val="24"/>
          <w:szCs w:val="24"/>
        </w:rPr>
        <w:t xml:space="preserve">., 2006).  It has been reported that the free fatty acid attains haemolytic  level only when the serum  albumin binding capacity is exceeded (Tizard </w:t>
      </w:r>
      <w:r>
        <w:rPr>
          <w:rFonts w:ascii="Times New Roman" w:hAnsi="Times New Roman" w:eastAsia="Arial" w:cs="Times New Roman"/>
          <w:i/>
          <w:sz w:val="24"/>
          <w:szCs w:val="24"/>
        </w:rPr>
        <w:t>et al</w:t>
      </w:r>
      <w:r>
        <w:rPr>
          <w:rFonts w:ascii="Times New Roman" w:hAnsi="Times New Roman" w:eastAsia="Arial" w:cs="Times New Roman"/>
          <w:sz w:val="24"/>
          <w:szCs w:val="24"/>
        </w:rPr>
        <w:t xml:space="preserve">., 1978).It has earlier been shown that severe haemolytic  crisis that occurs in most protozoan infections is  caused by  surface  active lipids which are cytolytic and free fatty acid has been grouped among such agents especially linoleic acid (Tizard </w:t>
      </w:r>
      <w:r>
        <w:rPr>
          <w:rFonts w:ascii="Times New Roman" w:hAnsi="Times New Roman" w:eastAsia="Arial" w:cs="Times New Roman"/>
          <w:i/>
          <w:sz w:val="24"/>
          <w:szCs w:val="24"/>
        </w:rPr>
        <w:t>et al</w:t>
      </w:r>
      <w:r>
        <w:rPr>
          <w:rFonts w:ascii="Times New Roman" w:hAnsi="Times New Roman" w:eastAsia="Arial" w:cs="Times New Roman"/>
          <w:sz w:val="24"/>
          <w:szCs w:val="24"/>
        </w:rPr>
        <w:t xml:space="preserve">., 1978).The significant increase in  packed cell volume (PCV) values of all infected and treated mice irrespective  of time of treatment may in  part  be  due to  the  ability of  the extract to reduce the level of circulating surface active agents such as the free fatty acids especially linoleic acid </w:t>
      </w:r>
      <w:r>
        <w:rPr>
          <w:rFonts w:ascii="Arial" w:hAnsi="Arial" w:eastAsia="Arial" w:cs="Arial"/>
          <w:sz w:val="20"/>
        </w:rPr>
        <w:t xml:space="preserve">that has </w:t>
      </w:r>
      <w:r>
        <w:rPr>
          <w:rFonts w:ascii="Times New Roman" w:hAnsi="Times New Roman" w:eastAsia="Arial" w:cs="Times New Roman"/>
          <w:sz w:val="24"/>
          <w:szCs w:val="24"/>
        </w:rPr>
        <w:t xml:space="preserve">been implicated in surface of  lyse red blood cells. Previous work by Bisalla </w:t>
      </w:r>
      <w:r>
        <w:rPr>
          <w:rFonts w:ascii="Times New Roman" w:hAnsi="Times New Roman" w:eastAsia="Arial" w:cs="Times New Roman"/>
          <w:i/>
          <w:sz w:val="24"/>
          <w:szCs w:val="24"/>
        </w:rPr>
        <w:t>et a</w:t>
      </w:r>
      <w:r>
        <w:rPr>
          <w:rFonts w:ascii="Times New Roman" w:hAnsi="Times New Roman" w:eastAsia="Arial" w:cs="Times New Roman"/>
          <w:sz w:val="24"/>
          <w:szCs w:val="24"/>
        </w:rPr>
        <w:t xml:space="preserve">l. (2007) reported a PCV value of 23% in animals infected with </w:t>
      </w:r>
      <w:r>
        <w:rPr>
          <w:rFonts w:ascii="Times New Roman" w:hAnsi="Times New Roman" w:eastAsia="Arial" w:cs="Times New Roman"/>
          <w:i/>
          <w:sz w:val="24"/>
          <w:szCs w:val="24"/>
        </w:rPr>
        <w:t xml:space="preserve">Plasmodium berghei </w:t>
      </w:r>
      <w:r>
        <w:rPr>
          <w:rFonts w:ascii="Times New Roman" w:hAnsi="Times New Roman" w:eastAsia="Arial" w:cs="Times New Roman"/>
          <w:sz w:val="24"/>
          <w:szCs w:val="24"/>
        </w:rPr>
        <w:t xml:space="preserve">which is consistent with our results as the PCV values of the infected untreated mice reduced to 25%. However, the decrease in PCV values of the extract treated groups was insignificantly different from the positive control, it is therefore suggested that the extract prevented lysis of the red blood cell induced by circulating free fatty acids level.  It is evident  that </w:t>
      </w:r>
      <w:r>
        <w:rPr>
          <w:rFonts w:ascii="Times New Roman" w:hAnsi="Times New Roman" w:eastAsia="Arial" w:cs="Times New Roman"/>
          <w:i/>
          <w:sz w:val="24"/>
          <w:szCs w:val="24"/>
          <w:lang w:val="en-US"/>
        </w:rPr>
        <w:t>Moringa oleifera</w:t>
      </w:r>
      <w:r>
        <w:rPr>
          <w:rFonts w:ascii="Times New Roman" w:hAnsi="Times New Roman" w:eastAsia="Arial" w:cs="Times New Roman"/>
          <w:i/>
          <w:sz w:val="24"/>
          <w:szCs w:val="24"/>
        </w:rPr>
        <w:t xml:space="preserve"> leaf</w:t>
      </w:r>
      <w:r>
        <w:rPr>
          <w:rFonts w:ascii="Times New Roman" w:hAnsi="Times New Roman" w:eastAsia="Arial" w:cs="Times New Roman"/>
          <w:sz w:val="24"/>
          <w:szCs w:val="24"/>
        </w:rPr>
        <w:t xml:space="preserve"> reduced rate of proliferation of parasitaemia in all the extract treated groups. In addition it prolonged the </w:t>
      </w:r>
      <w:r>
        <w:rPr>
          <w:rFonts w:hint="default" w:ascii="Times New Roman" w:hAnsi="Times New Roman" w:eastAsia="Arial" w:cs="Times New Roman"/>
          <w:sz w:val="24"/>
          <w:szCs w:val="24"/>
          <w:lang w:val="en-US"/>
        </w:rPr>
        <w:t xml:space="preserve">survival </w:t>
      </w:r>
      <w:r>
        <w:rPr>
          <w:rFonts w:ascii="Times New Roman" w:hAnsi="Times New Roman" w:eastAsia="Arial" w:cs="Times New Roman"/>
          <w:sz w:val="24"/>
          <w:szCs w:val="24"/>
        </w:rPr>
        <w:t>of infected mice by reducing the accumulation of free fatty acids in circulation implicated in lysis of red blood cell leading to anaemia</w:t>
      </w:r>
      <w:r>
        <w:rPr>
          <w:rFonts w:hint="default" w:ascii="Times New Roman" w:hAnsi="Times New Roman" w:eastAsia="Arial" w:cs="Times New Roman"/>
          <w:sz w:val="24"/>
          <w:szCs w:val="24"/>
          <w:lang w:val="en-US"/>
        </w:rPr>
        <w:t xml:space="preserve"> which</w:t>
      </w:r>
      <w:r>
        <w:rPr>
          <w:rFonts w:ascii="Times New Roman" w:hAnsi="Times New Roman" w:eastAsia="Arial" w:cs="Times New Roman"/>
          <w:sz w:val="24"/>
          <w:szCs w:val="24"/>
        </w:rPr>
        <w:t xml:space="preserve"> cause eventual death from </w:t>
      </w:r>
      <w:r>
        <w:rPr>
          <w:rFonts w:hint="default" w:ascii="Times New Roman" w:hAnsi="Times New Roman" w:eastAsia="Arial" w:cs="Times New Roman"/>
          <w:sz w:val="24"/>
          <w:szCs w:val="24"/>
          <w:lang w:val="en-US"/>
        </w:rPr>
        <w:t>malaria infection</w:t>
      </w:r>
      <w:r>
        <w:rPr>
          <w:rFonts w:ascii="Times New Roman" w:hAnsi="Times New Roman" w:eastAsia="Arial" w:cs="Times New Roman"/>
          <w:sz w:val="24"/>
          <w:szCs w:val="24"/>
        </w:rPr>
        <w:t>. It is therefore effective in the management of malaria related anemia.</w:t>
      </w:r>
    </w:p>
    <w:p>
      <w:pPr>
        <w:spacing w:line="360" w:lineRule="auto"/>
        <w:ind w:left="-15" w:firstLine="142"/>
        <w:jc w:val="both"/>
        <w:rPr>
          <w:rFonts w:ascii="Times New Roman" w:hAnsi="Times New Roman" w:cs="Times New Roman"/>
          <w:sz w:val="24"/>
          <w:szCs w:val="24"/>
        </w:rPr>
      </w:pPr>
    </w:p>
    <w:p>
      <w:pPr>
        <w:spacing w:line="240" w:lineRule="auto"/>
        <w:rPr>
          <w:rFonts w:hint="default" w:ascii="Times New Roman" w:hAnsi="Times New Roman" w:cs="Times New Roman"/>
          <w:sz w:val="24"/>
          <w:szCs w:val="24"/>
        </w:rPr>
      </w:pPr>
      <w:r>
        <w:rPr>
          <w:rFonts w:hint="default" w:ascii="Times New Roman" w:hAnsi="Times New Roman" w:eastAsia="Arial" w:cs="Times New Roman"/>
          <w:b/>
          <w:sz w:val="24"/>
          <w:szCs w:val="24"/>
        </w:rPr>
        <w:t xml:space="preserve">Conclusion       </w:t>
      </w:r>
    </w:p>
    <w:p>
      <w:pPr>
        <w:spacing w:line="240" w:lineRule="auto"/>
        <w:rPr>
          <w:rFonts w:hint="default" w:ascii="Times New Roman" w:hAnsi="Times New Roman" w:cs="Times New Roman"/>
          <w:sz w:val="24"/>
          <w:szCs w:val="24"/>
        </w:rPr>
      </w:pPr>
      <w:r>
        <w:rPr>
          <w:rFonts w:hint="default" w:ascii="Times New Roman" w:hAnsi="Times New Roman" w:eastAsia="Arial" w:cs="Times New Roman"/>
          <w:sz w:val="24"/>
          <w:szCs w:val="24"/>
        </w:rPr>
        <w:t xml:space="preserve"> </w:t>
      </w:r>
    </w:p>
    <w:p>
      <w:pPr>
        <w:spacing w:line="360" w:lineRule="auto"/>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This study has demonstrated that </w:t>
      </w:r>
      <w:r>
        <w:rPr>
          <w:rFonts w:hint="default" w:ascii="Times New Roman" w:hAnsi="Times New Roman" w:eastAsia="Arial" w:cs="Times New Roman"/>
          <w:sz w:val="24"/>
          <w:szCs w:val="24"/>
          <w:lang w:val="en-US"/>
        </w:rPr>
        <w:t xml:space="preserve">phytocystatin from </w:t>
      </w:r>
      <w:r>
        <w:rPr>
          <w:rFonts w:hint="default" w:ascii="Times New Roman" w:hAnsi="Times New Roman" w:eastAsia="Arial" w:cs="Times New Roman"/>
          <w:i/>
          <w:sz w:val="24"/>
          <w:szCs w:val="24"/>
          <w:lang w:val="en-US"/>
        </w:rPr>
        <w:t>Moringa oleifera</w:t>
      </w:r>
      <w:r>
        <w:rPr>
          <w:rFonts w:hint="default" w:ascii="Times New Roman" w:hAnsi="Times New Roman" w:eastAsia="Arial" w:cs="Times New Roman"/>
          <w:i/>
          <w:sz w:val="24"/>
          <w:szCs w:val="24"/>
        </w:rPr>
        <w:t xml:space="preserve"> leaf</w:t>
      </w:r>
      <w:r>
        <w:rPr>
          <w:rFonts w:hint="default" w:ascii="Times New Roman" w:hAnsi="Times New Roman" w:eastAsia="Arial" w:cs="Times New Roman"/>
          <w:sz w:val="24"/>
          <w:szCs w:val="24"/>
        </w:rPr>
        <w:t xml:space="preserve">  possesses </w:t>
      </w:r>
      <w:r>
        <w:rPr>
          <w:rFonts w:hint="default" w:ascii="Times New Roman" w:hAnsi="Times New Roman" w:eastAsia="Arial" w:cs="Times New Roman"/>
          <w:sz w:val="24"/>
          <w:szCs w:val="24"/>
          <w:lang w:val="en-US"/>
        </w:rPr>
        <w:t>antimalarial</w:t>
      </w:r>
      <w:r>
        <w:rPr>
          <w:rFonts w:hint="default" w:ascii="Times New Roman" w:hAnsi="Times New Roman" w:eastAsia="Arial" w:cs="Times New Roman"/>
          <w:sz w:val="24"/>
          <w:szCs w:val="24"/>
        </w:rPr>
        <w:t xml:space="preserve"> as well as anti-haemolytic effects in plasmodium berghei infected mice </w:t>
      </w:r>
    </w:p>
    <w:p>
      <w:pPr>
        <w:spacing w:line="240" w:lineRule="auto"/>
        <w:rPr>
          <w:rFonts w:hint="default" w:ascii="Times New Roman" w:hAnsi="Times New Roman" w:eastAsia="Arial" w:cs="Times New Roman"/>
          <w:b/>
          <w:sz w:val="24"/>
          <w:szCs w:val="24"/>
        </w:rPr>
      </w:pPr>
    </w:p>
    <w:p>
      <w:pPr>
        <w:spacing w:line="240" w:lineRule="auto"/>
      </w:pPr>
      <w:r>
        <w:rPr>
          <w:rFonts w:hint="default" w:ascii="Times New Roman" w:hAnsi="Times New Roman" w:eastAsia="Arial" w:cs="Times New Roman"/>
          <w:b/>
          <w:sz w:val="24"/>
          <w:szCs w:val="24"/>
        </w:rPr>
        <w:t xml:space="preserve">REFERENCES </w:t>
      </w:r>
    </w:p>
    <w:p>
      <w:pPr>
        <w:spacing w:line="235" w:lineRule="auto"/>
        <w:ind w:left="175" w:hanging="190"/>
        <w:jc w:val="both"/>
        <w:rPr>
          <w:rFonts w:hint="default" w:ascii="Times New Roman" w:hAnsi="Times New Roman" w:eastAsia="Arial" w:cs="Times New Roman"/>
          <w:sz w:val="24"/>
          <w:szCs w:val="24"/>
        </w:rPr>
      </w:pPr>
    </w:p>
    <w:p>
      <w:pPr>
        <w:spacing w:line="235" w:lineRule="auto"/>
        <w:ind w:left="175" w:hanging="190"/>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Adah</w:t>
      </w:r>
      <w:r>
        <w:rPr>
          <w:rFonts w:hint="default" w:ascii="Times New Roman" w:hAnsi="Times New Roman" w:eastAsia="Arial" w:cs="Times New Roman"/>
          <w:sz w:val="24"/>
          <w:szCs w:val="24"/>
          <w:lang w:val="en-US"/>
        </w:rPr>
        <w:t>,</w:t>
      </w:r>
      <w:r>
        <w:rPr>
          <w:rFonts w:hint="default" w:ascii="Times New Roman" w:hAnsi="Times New Roman" w:eastAsia="Arial" w:cs="Times New Roman"/>
          <w:sz w:val="24"/>
          <w:szCs w:val="24"/>
        </w:rPr>
        <w:t xml:space="preserve"> M</w:t>
      </w:r>
      <w:r>
        <w:rPr>
          <w:rFonts w:hint="default" w:ascii="Times New Roman" w:hAnsi="Times New Roman" w:eastAsia="Arial" w:cs="Times New Roman"/>
          <w:sz w:val="24"/>
          <w:szCs w:val="24"/>
          <w:lang w:val="en-US"/>
        </w:rPr>
        <w:t>.</w:t>
      </w:r>
      <w:r>
        <w:rPr>
          <w:rFonts w:hint="default" w:ascii="Times New Roman" w:hAnsi="Times New Roman" w:eastAsia="Arial" w:cs="Times New Roman"/>
          <w:sz w:val="24"/>
          <w:szCs w:val="24"/>
        </w:rPr>
        <w:t>I, Otesile E</w:t>
      </w:r>
      <w:r>
        <w:rPr>
          <w:rFonts w:hint="default" w:ascii="Times New Roman" w:hAnsi="Times New Roman" w:eastAsia="Arial" w:cs="Times New Roman"/>
          <w:sz w:val="24"/>
          <w:szCs w:val="24"/>
          <w:lang w:val="en-US"/>
        </w:rPr>
        <w:t>.</w:t>
      </w:r>
      <w:r>
        <w:rPr>
          <w:rFonts w:hint="default" w:ascii="Times New Roman" w:hAnsi="Times New Roman" w:eastAsia="Arial" w:cs="Times New Roman"/>
          <w:sz w:val="24"/>
          <w:szCs w:val="24"/>
        </w:rPr>
        <w:t>B, Joshua</w:t>
      </w:r>
      <w:r>
        <w:rPr>
          <w:rFonts w:hint="default" w:ascii="Times New Roman" w:hAnsi="Times New Roman" w:eastAsia="Arial" w:cs="Times New Roman"/>
          <w:sz w:val="24"/>
          <w:szCs w:val="24"/>
          <w:lang w:val="en-US"/>
        </w:rPr>
        <w:t>,</w:t>
      </w:r>
      <w:r>
        <w:rPr>
          <w:rFonts w:hint="default" w:ascii="Times New Roman" w:hAnsi="Times New Roman" w:eastAsia="Arial" w:cs="Times New Roman"/>
          <w:sz w:val="24"/>
          <w:szCs w:val="24"/>
        </w:rPr>
        <w:t>R</w:t>
      </w:r>
      <w:r>
        <w:rPr>
          <w:rFonts w:hint="default" w:ascii="Times New Roman" w:hAnsi="Times New Roman" w:eastAsia="Arial" w:cs="Times New Roman"/>
          <w:sz w:val="24"/>
          <w:szCs w:val="24"/>
          <w:lang w:val="en-US"/>
        </w:rPr>
        <w:t>.</w:t>
      </w:r>
      <w:r>
        <w:rPr>
          <w:rFonts w:hint="default" w:ascii="Times New Roman" w:hAnsi="Times New Roman" w:eastAsia="Arial" w:cs="Times New Roman"/>
          <w:sz w:val="24"/>
          <w:szCs w:val="24"/>
        </w:rPr>
        <w:t xml:space="preserve">A (1993). Susceptibility of Nigerian West African Dwarf and Red Sokoto goats to a strain of </w:t>
      </w:r>
      <w:r>
        <w:rPr>
          <w:rFonts w:hint="default" w:ascii="Times New Roman" w:hAnsi="Times New Roman" w:eastAsia="Arial" w:cs="Times New Roman"/>
          <w:i/>
          <w:sz w:val="24"/>
          <w:szCs w:val="24"/>
        </w:rPr>
        <w:t>Trypanosoma congolense</w:t>
      </w:r>
      <w:r>
        <w:rPr>
          <w:rFonts w:hint="default" w:ascii="Times New Roman" w:hAnsi="Times New Roman" w:eastAsia="Arial" w:cs="Times New Roman"/>
          <w:sz w:val="24"/>
          <w:szCs w:val="24"/>
        </w:rPr>
        <w:t>. Vet. Parasitol. 47: 177 - 188.</w:t>
      </w:r>
    </w:p>
    <w:p>
      <w:pPr>
        <w:spacing w:line="235" w:lineRule="auto"/>
        <w:ind w:left="175" w:hanging="190"/>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 </w:t>
      </w:r>
    </w:p>
    <w:p>
      <w:pPr>
        <w:spacing w:line="235" w:lineRule="auto"/>
        <w:ind w:left="175" w:hanging="190"/>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Allison</w:t>
      </w:r>
      <w:r>
        <w:rPr>
          <w:rFonts w:hint="default" w:ascii="Times New Roman" w:hAnsi="Times New Roman" w:eastAsia="Arial" w:cs="Times New Roman"/>
          <w:sz w:val="24"/>
          <w:szCs w:val="24"/>
          <w:lang w:val="en-US"/>
        </w:rPr>
        <w:t>,</w:t>
      </w:r>
      <w:r>
        <w:rPr>
          <w:rFonts w:hint="default" w:ascii="Times New Roman" w:hAnsi="Times New Roman" w:eastAsia="Arial" w:cs="Times New Roman"/>
          <w:sz w:val="24"/>
          <w:szCs w:val="24"/>
        </w:rPr>
        <w:t>A</w:t>
      </w:r>
      <w:r>
        <w:rPr>
          <w:rFonts w:hint="default" w:ascii="Times New Roman" w:hAnsi="Times New Roman" w:eastAsia="Arial" w:cs="Times New Roman"/>
          <w:sz w:val="24"/>
          <w:szCs w:val="24"/>
          <w:lang w:val="en-US"/>
        </w:rPr>
        <w:t>.</w:t>
      </w:r>
      <w:r>
        <w:rPr>
          <w:rFonts w:hint="default" w:ascii="Times New Roman" w:hAnsi="Times New Roman" w:eastAsia="Arial" w:cs="Times New Roman"/>
          <w:sz w:val="24"/>
          <w:szCs w:val="24"/>
        </w:rPr>
        <w:t>C(1978)..Mechanism</w:t>
      </w:r>
      <w:r>
        <w:rPr>
          <w:rFonts w:hint="default" w:ascii="Times New Roman" w:hAnsi="Times New Roman" w:eastAsia="Arial" w:cs="Times New Roman"/>
          <w:sz w:val="24"/>
          <w:szCs w:val="24"/>
          <w:lang w:val="en-US"/>
        </w:rPr>
        <w:t xml:space="preserve"> </w:t>
      </w:r>
      <w:r>
        <w:rPr>
          <w:rFonts w:hint="default" w:ascii="Times New Roman" w:hAnsi="Times New Roman" w:eastAsia="Arial" w:cs="Times New Roman"/>
          <w:sz w:val="24"/>
          <w:szCs w:val="24"/>
        </w:rPr>
        <w:t>by which activated macrophage inhibits lymphocyte responses.</w:t>
      </w:r>
      <w:r>
        <w:rPr>
          <w:rFonts w:hint="default" w:ascii="Times New Roman" w:hAnsi="Times New Roman" w:eastAsia="Arial" w:cs="Times New Roman"/>
          <w:sz w:val="24"/>
          <w:szCs w:val="24"/>
          <w:lang w:val="en-US"/>
        </w:rPr>
        <w:t xml:space="preserve"> </w:t>
      </w:r>
      <w:r>
        <w:rPr>
          <w:rFonts w:hint="default" w:ascii="Times New Roman" w:hAnsi="Times New Roman" w:eastAsia="Arial" w:cs="Times New Roman"/>
          <w:sz w:val="24"/>
          <w:szCs w:val="24"/>
        </w:rPr>
        <w:t>Immune Rev.40: 3.</w:t>
      </w:r>
    </w:p>
    <w:p>
      <w:pPr>
        <w:spacing w:line="235" w:lineRule="auto"/>
        <w:ind w:left="175" w:hanging="190"/>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 </w:t>
      </w:r>
    </w:p>
    <w:p>
      <w:pPr>
        <w:spacing w:line="235" w:lineRule="auto"/>
        <w:ind w:left="175" w:hanging="190"/>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Anosa</w:t>
      </w:r>
      <w:r>
        <w:rPr>
          <w:rFonts w:hint="default" w:ascii="Times New Roman" w:hAnsi="Times New Roman" w:eastAsia="Arial" w:cs="Times New Roman"/>
          <w:sz w:val="24"/>
          <w:szCs w:val="24"/>
          <w:lang w:val="en-US"/>
        </w:rPr>
        <w:t>,</w:t>
      </w:r>
      <w:r>
        <w:rPr>
          <w:rFonts w:hint="default" w:ascii="Times New Roman" w:hAnsi="Times New Roman" w:eastAsia="Arial" w:cs="Times New Roman"/>
          <w:sz w:val="24"/>
          <w:szCs w:val="24"/>
        </w:rPr>
        <w:t>V</w:t>
      </w:r>
      <w:r>
        <w:rPr>
          <w:rFonts w:hint="default" w:ascii="Times New Roman" w:hAnsi="Times New Roman" w:eastAsia="Arial" w:cs="Times New Roman"/>
          <w:sz w:val="24"/>
          <w:szCs w:val="24"/>
          <w:lang w:val="en-US"/>
        </w:rPr>
        <w:t>.</w:t>
      </w:r>
      <w:r>
        <w:rPr>
          <w:rFonts w:hint="default" w:ascii="Times New Roman" w:hAnsi="Times New Roman" w:eastAsia="Arial" w:cs="Times New Roman"/>
          <w:sz w:val="24"/>
          <w:szCs w:val="24"/>
        </w:rPr>
        <w:t>O(1988).Haematological and biochemical changes in human and animal Trypanosomiasis. Revue E,Med,Vet.Pays. Trop. 41: 65 – 78.</w:t>
      </w:r>
    </w:p>
    <w:p>
      <w:pPr>
        <w:pStyle w:val="2"/>
        <w:keepNext w:val="0"/>
        <w:keepLines w:val="0"/>
        <w:widowControl/>
        <w:suppressLineNumbers w:val="0"/>
        <w:shd w:val="clear" w:fill="FFFFFF"/>
        <w:spacing w:line="19" w:lineRule="atLeast"/>
        <w:ind w:left="0" w:firstLine="0"/>
        <w:rPr>
          <w:rFonts w:hint="default" w:ascii="Times New Roman" w:hAnsi="Times New Roman" w:eastAsia="NexusSans" w:cs="Times New Roman"/>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instrText xml:space="preserve"> HYPERLINK "https://www.scopus.com/authid/detail.uri?authorId=57191860025" </w:instrText>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separate"/>
      </w:r>
      <w:r>
        <w:rPr>
          <w:rStyle w:val="5"/>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t>Bisalla M</w:t>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lang w:val="en-US"/>
          <w14:textFill>
            <w14:solidFill>
              <w14:schemeClr w14:val="tx1"/>
            </w14:solidFill>
          </w14:textFill>
        </w:rPr>
        <w:t>,</w:t>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instrText xml:space="preserve"> HYPERLINK "https://www.scopus.com/authid/detail.uri?authorId=24449251500" </w:instrText>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separate"/>
      </w:r>
      <w:r>
        <w:rPr>
          <w:rStyle w:val="5"/>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t>Adamu S</w:t>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lang w:val="en-US"/>
          <w14:textFill>
            <w14:solidFill>
              <w14:schemeClr w14:val="tx1"/>
            </w14:solidFill>
          </w14:textFill>
        </w:rPr>
        <w:t>,</w:t>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instrText xml:space="preserve"> HYPERLINK "https://www.scopus.com/authid/detail.uri?authorId=7102687196" </w:instrText>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separate"/>
      </w:r>
      <w:r>
        <w:rPr>
          <w:rStyle w:val="5"/>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t>Ibrahim N</w:t>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lang w:val="en-US"/>
          <w14:textFill>
            <w14:solidFill>
              <w14:schemeClr w14:val="tx1"/>
            </w14:solidFill>
          </w14:textFill>
        </w:rPr>
        <w:t>,</w:t>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instrText xml:space="preserve"> HYPERLINK "https://www.scopus.com/authid/detail.uri?authorId=8341284600" </w:instrText>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separate"/>
      </w:r>
      <w:r>
        <w:rPr>
          <w:rStyle w:val="5"/>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t>Lawal I</w:t>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lang w:val="en-US"/>
          <w14:textFill>
            <w14:solidFill>
              <w14:schemeClr w14:val="tx1"/>
            </w14:solidFill>
          </w14:textFill>
        </w:rPr>
        <w:t xml:space="preserve"> and </w:t>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instrText xml:space="preserve"> HYPERLINK "https://www.scopus.com/authid/detail.uri?authorId=6603942465" </w:instrText>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separate"/>
      </w:r>
      <w:r>
        <w:rPr>
          <w:rStyle w:val="5"/>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t>Esievo K</w:t>
      </w:r>
      <w:r>
        <w:rPr>
          <w:rFonts w:hint="default" w:ascii="Times New Roman" w:hAnsi="Times New Roman" w:eastAsia="NexusSans"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NexusSans" w:cs="Times New Roman"/>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(2009)</w:t>
      </w:r>
      <w:r>
        <w:rPr>
          <w:rFonts w:hint="default" w:ascii="Times New Roman" w:hAnsi="Times New Roman" w:eastAsia="NexusSans" w:cs="Times New Roman"/>
          <w:b w:val="0"/>
          <w:bCs w:val="0"/>
          <w:i w:val="0"/>
          <w:iCs w:val="0"/>
          <w:caps w:val="0"/>
          <w:color w:val="000000" w:themeColor="text1"/>
          <w:spacing w:val="0"/>
          <w:sz w:val="24"/>
          <w:szCs w:val="24"/>
          <w:shd w:val="clear" w:fill="FFFFFF"/>
          <w14:textFill>
            <w14:solidFill>
              <w14:schemeClr w14:val="tx1"/>
            </w14:solidFill>
          </w14:textFill>
        </w:rPr>
        <w:t xml:space="preserve">Effect of immunomodulation with levamisole on the course and pathogenesis of acute experimental </w:t>
      </w:r>
      <w:r>
        <w:rPr>
          <w:rFonts w:hint="default" w:ascii="Times New Roman" w:hAnsi="Times New Roman" w:eastAsia="NexusSans" w:cs="Times New Roman"/>
          <w:b w:val="0"/>
          <w:bCs w:val="0"/>
          <w:i/>
          <w:iCs/>
          <w:caps w:val="0"/>
          <w:color w:val="000000" w:themeColor="text1"/>
          <w:spacing w:val="0"/>
          <w:sz w:val="24"/>
          <w:szCs w:val="24"/>
          <w:shd w:val="clear" w:fill="FFFFFF"/>
          <w14:textFill>
            <w14:solidFill>
              <w14:schemeClr w14:val="tx1"/>
            </w14:solidFill>
          </w14:textFill>
        </w:rPr>
        <w:t xml:space="preserve">Trypanosoma congolense </w:t>
      </w:r>
      <w:r>
        <w:rPr>
          <w:rFonts w:hint="default" w:ascii="Times New Roman" w:hAnsi="Times New Roman" w:eastAsia="NexusSans" w:cs="Times New Roman"/>
          <w:b w:val="0"/>
          <w:bCs w:val="0"/>
          <w:i w:val="0"/>
          <w:iCs w:val="0"/>
          <w:caps w:val="0"/>
          <w:color w:val="000000" w:themeColor="text1"/>
          <w:spacing w:val="0"/>
          <w:sz w:val="24"/>
          <w:szCs w:val="24"/>
          <w:shd w:val="clear" w:fill="FFFFFF"/>
          <w14:textFill>
            <w14:solidFill>
              <w14:schemeClr w14:val="tx1"/>
            </w14:solidFill>
          </w14:textFill>
        </w:rPr>
        <w:t>infection in sheep</w:t>
      </w:r>
      <w:r>
        <w:rPr>
          <w:rFonts w:hint="default" w:ascii="Times New Roman" w:hAnsi="Times New Roman" w:eastAsia="NexusSans" w:cs="Times New Roman"/>
          <w:b w:val="0"/>
          <w:bCs w:val="0"/>
          <w:i w:val="0"/>
          <w:iCs w:val="0"/>
          <w:caps w:val="0"/>
          <w:color w:val="000000" w:themeColor="text1"/>
          <w:spacing w:val="0"/>
          <w:sz w:val="24"/>
          <w:szCs w:val="24"/>
          <w:shd w:val="clear" w:fill="FFFFFF"/>
          <w:lang w:val="en-US"/>
          <w14:textFill>
            <w14:solidFill>
              <w14:schemeClr w14:val="tx1"/>
            </w14:solidFill>
          </w14:textFill>
        </w:rPr>
        <w:t>.</w:t>
      </w:r>
      <w:r>
        <w:rPr>
          <w:rFonts w:hint="default" w:ascii="Times New Roman" w:hAnsi="Times New Roman" w:eastAsia="NexusSan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 </w:t>
      </w:r>
      <w:r>
        <w:rPr>
          <w:rFonts w:hint="default" w:ascii="Times New Roman" w:hAnsi="Times New Roman" w:eastAsia="NexusSans" w:cs="Times New Roman"/>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African Journal of Biotechnology  8(5) 827-834</w:t>
      </w:r>
    </w:p>
    <w:p>
      <w:pPr>
        <w:spacing w:line="235" w:lineRule="auto"/>
        <w:ind w:left="175" w:hanging="190"/>
        <w:jc w:val="both"/>
      </w:pPr>
      <w:r>
        <w:rPr>
          <w:rFonts w:hint="default" w:ascii="Times New Roman" w:hAnsi="Times New Roman" w:eastAsia="Arial" w:cs="Times New Roman"/>
          <w:sz w:val="24"/>
          <w:szCs w:val="24"/>
        </w:rPr>
        <w:t>Bruiju</w:t>
      </w:r>
      <w:r>
        <w:rPr>
          <w:rFonts w:hint="default" w:ascii="Times New Roman" w:hAnsi="Times New Roman" w:eastAsia="Arial" w:cs="Times New Roman"/>
          <w:sz w:val="24"/>
          <w:szCs w:val="24"/>
          <w:lang w:val="en-US"/>
        </w:rPr>
        <w:t>,</w:t>
      </w:r>
      <w:r>
        <w:rPr>
          <w:rFonts w:hint="default" w:ascii="Times New Roman" w:hAnsi="Times New Roman" w:eastAsia="Arial" w:cs="Times New Roman"/>
          <w:sz w:val="24"/>
          <w:szCs w:val="24"/>
        </w:rPr>
        <w:t xml:space="preserve"> J</w:t>
      </w:r>
      <w:r>
        <w:rPr>
          <w:rFonts w:hint="default" w:ascii="Times New Roman" w:hAnsi="Times New Roman" w:eastAsia="Arial" w:cs="Times New Roman"/>
          <w:sz w:val="24"/>
          <w:szCs w:val="24"/>
          <w:lang w:val="en-US"/>
        </w:rPr>
        <w:t>.</w:t>
      </w:r>
      <w:r>
        <w:rPr>
          <w:rFonts w:hint="default" w:ascii="Times New Roman" w:hAnsi="Times New Roman" w:eastAsia="Arial" w:cs="Times New Roman"/>
          <w:sz w:val="24"/>
          <w:szCs w:val="24"/>
        </w:rPr>
        <w:t>A (1987). Antibasement membrane glomerulopathy in experimental Trypanosomiasis. J. Immunol.139 : 2482 - 2488</w:t>
      </w:r>
      <w:r>
        <w:rPr>
          <w:rFonts w:ascii="Arial" w:hAnsi="Arial" w:eastAsia="Arial" w:cs="Arial"/>
          <w:sz w:val="16"/>
        </w:rPr>
        <w:t xml:space="preserve">. </w:t>
      </w:r>
    </w:p>
    <w:p>
      <w:pPr>
        <w:rPr>
          <w:rFonts w:hint="default"/>
          <w:lang w:val="en-US" w:eastAsia="zh-CN"/>
        </w:rPr>
      </w:pPr>
    </w:p>
    <w:p>
      <w:pPr>
        <w:spacing w:line="235" w:lineRule="auto"/>
        <w:ind w:left="-15"/>
        <w:jc w:val="both"/>
        <w:rPr>
          <w:rFonts w:hint="default" w:ascii="Arial" w:hAnsi="Arial" w:eastAsia="Arial" w:cs="Arial"/>
          <w:sz w:val="16"/>
        </w:rPr>
      </w:pPr>
      <w:r>
        <w:rPr>
          <w:rFonts w:hint="default" w:ascii="Times New Roman" w:hAnsi="Times New Roman" w:eastAsia="Arial" w:cs="Times New Roman"/>
          <w:sz w:val="24"/>
          <w:szCs w:val="24"/>
        </w:rPr>
        <w:t xml:space="preserve">Catherine BA, Laposata M, Veronia G Proios, Zbigniew </w:t>
      </w:r>
      <w:r>
        <w:rPr>
          <w:rFonts w:hint="default" w:ascii="Times New Roman" w:hAnsi="Times New Roman" w:eastAsia="Arial" w:cs="Times New Roman"/>
          <w:sz w:val="24"/>
          <w:szCs w:val="24"/>
          <w:lang w:val="en-US"/>
        </w:rPr>
        <w:t xml:space="preserve"> </w:t>
      </w:r>
      <w:r>
        <w:rPr>
          <w:rFonts w:hint="default" w:ascii="Times New Roman" w:hAnsi="Times New Roman" w:eastAsia="Arial" w:cs="Times New Roman"/>
          <w:sz w:val="24"/>
          <w:szCs w:val="24"/>
        </w:rPr>
        <w:t>Szczepiorkowski  M (2006) Method To Assess Fatty Acid Ethyl Ester Binding To Albumin. Alcohol &amp; Alcoholism. 41 (3): 240-246</w:t>
      </w:r>
    </w:p>
    <w:p>
      <w:pPr>
        <w:spacing w:line="360" w:lineRule="auto"/>
        <w:rPr>
          <w:rFonts w:hint="default" w:ascii="Times New Roman" w:hAnsi="Times New Roman" w:eastAsia="Arial" w:cs="Times New Roman"/>
          <w:sz w:val="24"/>
          <w:szCs w:val="24"/>
          <w:lang w:val="en-US"/>
        </w:rPr>
      </w:pPr>
    </w:p>
    <w:p>
      <w:pPr>
        <w:spacing w:line="360"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Ceros</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M, Carbonell J</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1993</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Purification and characterization of thiol-protease induced during senescence of unpollinated ovaries of </w:t>
      </w:r>
      <w:r>
        <w:rPr>
          <w:rFonts w:hint="default" w:ascii="Times New Roman" w:hAnsi="Times New Roman" w:eastAsia="SimSun" w:cs="Times New Roman"/>
          <w:i/>
          <w:iCs/>
          <w:sz w:val="24"/>
          <w:szCs w:val="24"/>
        </w:rPr>
        <w:t>Pisum sativum</w:t>
      </w:r>
      <w:r>
        <w:rPr>
          <w:rFonts w:hint="default" w:ascii="Times New Roman" w:hAnsi="Times New Roman" w:eastAsia="SimSun" w:cs="Times New Roman"/>
          <w:sz w:val="24"/>
          <w:szCs w:val="24"/>
        </w:rPr>
        <w:t>. Physiology Plant. ;88:267-274</w:t>
      </w:r>
    </w:p>
    <w:p>
      <w:pPr>
        <w:spacing w:line="360" w:lineRule="auto"/>
        <w:rPr>
          <w:rFonts w:hint="default" w:ascii="Times New Roman" w:hAnsi="Times New Roman" w:eastAsia="Arial" w:cs="Times New Roman"/>
          <w:sz w:val="24"/>
          <w:szCs w:val="24"/>
          <w:lang w:val="en-US"/>
        </w:rPr>
      </w:pPr>
    </w:p>
    <w:p>
      <w:pPr>
        <w:spacing w:line="360"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Karthik</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L, Kumar G, Keswani T, Bhattacharyya A, Chandar SS</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2014</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Protease Inhibitors from marine actinobacteria as a potential source for antimalarial compound. PLoS ONE. ;9(3).</w:t>
      </w:r>
    </w:p>
    <w:p>
      <w:pPr>
        <w:spacing w:line="235" w:lineRule="auto"/>
        <w:ind w:left="175" w:hanging="190"/>
        <w:jc w:val="both"/>
        <w:rPr>
          <w:rFonts w:hint="default" w:ascii="Times New Roman" w:hAnsi="Times New Roman" w:eastAsia="Arial" w:cs="Times New Roman"/>
          <w:sz w:val="24"/>
          <w:szCs w:val="24"/>
        </w:rPr>
      </w:pPr>
    </w:p>
    <w:p>
      <w:pPr>
        <w:spacing w:line="235" w:lineRule="auto"/>
        <w:ind w:left="175" w:hanging="190"/>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Kelly, W</w:t>
      </w:r>
      <w:r>
        <w:rPr>
          <w:rFonts w:hint="default" w:ascii="Times New Roman" w:hAnsi="Times New Roman" w:eastAsia="Arial" w:cs="Times New Roman"/>
          <w:sz w:val="24"/>
          <w:szCs w:val="24"/>
          <w:lang w:val="en-US"/>
        </w:rPr>
        <w:t>.</w:t>
      </w:r>
      <w:r>
        <w:rPr>
          <w:rFonts w:hint="default" w:ascii="Times New Roman" w:hAnsi="Times New Roman" w:eastAsia="Arial" w:cs="Times New Roman"/>
          <w:sz w:val="24"/>
          <w:szCs w:val="24"/>
        </w:rPr>
        <w:t xml:space="preserve">R (1977). veterinary clinical diagnosis. baillere tindall, london. pp. 271-282. </w:t>
      </w:r>
    </w:p>
    <w:p>
      <w:pPr>
        <w:spacing w:line="235" w:lineRule="auto"/>
        <w:ind w:left="175" w:hanging="190"/>
        <w:jc w:val="both"/>
        <w:rPr>
          <w:rFonts w:hint="default" w:ascii="Times New Roman" w:hAnsi="Times New Roman" w:eastAsia="Arial" w:cs="Times New Roman"/>
          <w:sz w:val="24"/>
          <w:szCs w:val="24"/>
        </w:rPr>
      </w:pPr>
    </w:p>
    <w:p>
      <w:pPr>
        <w:rPr>
          <w:rFonts w:hint="default" w:ascii="Times New Roman" w:hAnsi="Times New Roman" w:eastAsia="Arial" w:cs="Times New Roman"/>
          <w:sz w:val="24"/>
          <w:szCs w:val="24"/>
        </w:rPr>
      </w:pPr>
      <w:r>
        <w:rPr>
          <w:rFonts w:hint="default" w:ascii="Times New Roman" w:hAnsi="Times New Roman" w:eastAsia="Arial" w:cs="Times New Roman"/>
          <w:sz w:val="24"/>
          <w:szCs w:val="24"/>
        </w:rPr>
        <w:t>Koichi</w:t>
      </w:r>
      <w:r>
        <w:rPr>
          <w:rFonts w:hint="default" w:ascii="Times New Roman" w:hAnsi="Times New Roman" w:eastAsia="Arial" w:cs="Times New Roman"/>
          <w:sz w:val="24"/>
          <w:szCs w:val="24"/>
          <w:lang w:val="en-US"/>
        </w:rPr>
        <w:t>,</w:t>
      </w:r>
      <w:r>
        <w:rPr>
          <w:rFonts w:hint="default" w:ascii="Times New Roman" w:hAnsi="Times New Roman" w:eastAsia="Arial" w:cs="Times New Roman"/>
          <w:sz w:val="24"/>
          <w:szCs w:val="24"/>
        </w:rPr>
        <w:t xml:space="preserve"> I (1977).</w:t>
      </w:r>
      <w:r>
        <w:rPr>
          <w:rFonts w:hint="default" w:ascii="Times New Roman" w:hAnsi="Times New Roman" w:eastAsia="Arial" w:cs="Times New Roman"/>
          <w:i/>
          <w:sz w:val="24"/>
          <w:szCs w:val="24"/>
        </w:rPr>
        <w:t xml:space="preserve"> </w:t>
      </w:r>
      <w:r>
        <w:rPr>
          <w:rFonts w:hint="default" w:ascii="Times New Roman" w:hAnsi="Times New Roman" w:eastAsia="Arial" w:cs="Times New Roman"/>
          <w:sz w:val="24"/>
          <w:szCs w:val="24"/>
        </w:rPr>
        <w:t>A more Sensitive and Stable Method Colorimetric Determination of Free Fatty Acids in Blood</w:t>
      </w:r>
      <w:r>
        <w:rPr>
          <w:rFonts w:hint="default" w:ascii="Times New Roman" w:hAnsi="Times New Roman" w:eastAsia="Arial" w:cs="Times New Roman"/>
          <w:i/>
          <w:sz w:val="24"/>
          <w:szCs w:val="24"/>
        </w:rPr>
        <w:t xml:space="preserve">. </w:t>
      </w:r>
      <w:r>
        <w:rPr>
          <w:rFonts w:hint="default" w:ascii="Times New Roman" w:hAnsi="Times New Roman" w:eastAsia="Arial" w:cs="Times New Roman"/>
          <w:sz w:val="24"/>
          <w:szCs w:val="24"/>
        </w:rPr>
        <w:t xml:space="preserve">J. Lipid Res. </w:t>
      </w:r>
      <w:r>
        <w:rPr>
          <w:rFonts w:hint="default" w:ascii="Times New Roman" w:hAnsi="Times New Roman" w:eastAsia="Arial" w:cs="Times New Roman"/>
          <w:b/>
          <w:sz w:val="24"/>
          <w:szCs w:val="24"/>
        </w:rPr>
        <w:t>18</w:t>
      </w:r>
      <w:r>
        <w:rPr>
          <w:rFonts w:hint="default" w:ascii="Times New Roman" w:hAnsi="Times New Roman" w:eastAsia="Arial" w:cs="Times New Roman"/>
          <w:sz w:val="24"/>
          <w:szCs w:val="24"/>
        </w:rPr>
        <w:t>:663-665.</w:t>
      </w:r>
    </w:p>
    <w:p>
      <w:pPr>
        <w:rPr>
          <w:rFonts w:hint="default" w:ascii="Times New Roman" w:hAnsi="Times New Roman" w:eastAsia="Arial" w:cs="Times New Roman"/>
          <w:sz w:val="24"/>
          <w:szCs w:val="24"/>
        </w:rPr>
      </w:pPr>
    </w:p>
    <w:p>
      <w:pPr>
        <w:rPr>
          <w:rFonts w:hint="default" w:ascii="Times New Roman" w:hAnsi="Times New Roman" w:eastAsia="Arial" w:cs="Times New Roman"/>
          <w:sz w:val="24"/>
          <w:szCs w:val="24"/>
        </w:rPr>
      </w:pPr>
      <w:r>
        <w:rPr>
          <w:rFonts w:hint="default" w:ascii="Times New Roman" w:hAnsi="Times New Roman" w:eastAsia="SimSun" w:cs="Times New Roman"/>
          <w:sz w:val="24"/>
          <w:szCs w:val="24"/>
        </w:rPr>
        <w:t>Lawal, B., Shittu, O. K., Kabiru, A. Y., Jigam, A. A., Umar, M. B., Berinyuy, E. B., and Alozieuwa, B. U. (2015). Potential Antimalarials from African Natural Products: A review. Journal of Intercultural Ethnopharmacology, 4(4), 318-343</w:t>
      </w:r>
    </w:p>
    <w:p>
      <w:pPr>
        <w:spacing w:line="360" w:lineRule="auto"/>
        <w:rPr>
          <w:rFonts w:hint="default" w:ascii="Times New Roman" w:hAnsi="Times New Roman" w:eastAsia="SimSun" w:cs="Times New Roman"/>
          <w:sz w:val="24"/>
          <w:szCs w:val="24"/>
        </w:rPr>
      </w:pPr>
    </w:p>
    <w:p>
      <w:pPr>
        <w:spacing w:line="360" w:lineRule="auto"/>
        <w:rPr>
          <w:rFonts w:hint="default" w:ascii="Arial" w:hAnsi="Arial" w:eastAsia="Arial" w:cs="Arial"/>
          <w:sz w:val="16"/>
        </w:rPr>
      </w:pPr>
      <w:r>
        <w:rPr>
          <w:rFonts w:hint="default" w:ascii="Times New Roman" w:hAnsi="Times New Roman" w:eastAsia="SimSun" w:cs="Times New Roman"/>
          <w:sz w:val="24"/>
          <w:szCs w:val="24"/>
        </w:rPr>
        <w:t>Lorke, D. (1983).A New Approach for Acute Toxicity Testing. Archive of Toxicology, 54, 275-289.</w:t>
      </w:r>
    </w:p>
    <w:p>
      <w:pPr>
        <w:spacing w:line="360" w:lineRule="auto"/>
        <w:rPr>
          <w:rFonts w:hint="default" w:ascii="Times New Roman" w:hAnsi="Times New Roman" w:eastAsia="SimSun" w:cs="Times New Roman"/>
          <w:sz w:val="24"/>
          <w:szCs w:val="24"/>
        </w:rPr>
      </w:pPr>
    </w:p>
    <w:p>
      <w:pPr>
        <w:spacing w:line="360"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Mane</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U</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R, Gupta RC, Nadkarni SS, Giridhar RR, Naik PP, Yadav MR. Falcipain inhibitors as potential therapeutics for resistant strains of malaria: A patent review. Expert Opin. Ther. Patents. 2013;21:234-434.</w:t>
      </w:r>
    </w:p>
    <w:p>
      <w:pPr>
        <w:rPr>
          <w:rFonts w:hint="default" w:ascii="Times New Roman" w:hAnsi="Times New Roman" w:eastAsia="SimSun" w:cs="Times New Roman"/>
          <w:sz w:val="24"/>
          <w:szCs w:val="24"/>
        </w:rPr>
      </w:pPr>
    </w:p>
    <w:p>
      <w:p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Peters, W. (1965). Drug Resistance in Plasmodium berghei. Experimental. Parasitology. 17:80–89.</w:t>
      </w:r>
    </w:p>
    <w:p>
      <w:pPr>
        <w:spacing w:line="360" w:lineRule="auto"/>
        <w:rPr>
          <w:rFonts w:hint="default" w:ascii="Times New Roman" w:hAnsi="Times New Roman" w:eastAsia="SimSun" w:cs="Times New Roman"/>
          <w:sz w:val="24"/>
          <w:szCs w:val="24"/>
        </w:rPr>
      </w:pPr>
    </w:p>
    <w:p>
      <w:pPr>
        <w:spacing w:line="360"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Rao</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N, Mallikarjuna H, Nayana R, Pattabiraman TN</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1983</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Enzyme inhibitors from Plants. Isolation and characterization of a protease inhibitor from arrow root(Maranta arundinaceae) tuber. J. Biosci. ;5(1):21-33. </w:t>
      </w:r>
    </w:p>
    <w:p>
      <w:pPr>
        <w:spacing w:line="360" w:lineRule="auto"/>
        <w:rPr>
          <w:rFonts w:hint="default" w:ascii="Times New Roman" w:hAnsi="Times New Roman" w:eastAsia="SimSun" w:cs="Times New Roman"/>
          <w:sz w:val="24"/>
          <w:szCs w:val="24"/>
        </w:rPr>
      </w:pPr>
    </w:p>
    <w:p>
      <w:pPr>
        <w:spacing w:line="360"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Rosenthal</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P</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J</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2011</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Cysteine proteases of malaria parasites. In Cysteine Proteases of Pathogenic organisms (ed. Mark WR, John P D.). Landes Bioscience. ;208-289. RioGrande St., Austin</w:t>
      </w:r>
    </w:p>
    <w:p>
      <w:pPr>
        <w:spacing w:line="360" w:lineRule="auto"/>
        <w:rPr>
          <w:rFonts w:hint="default" w:ascii="Times New Roman" w:hAnsi="Times New Roman" w:eastAsia="SimSun" w:cs="Times New Roman"/>
          <w:sz w:val="24"/>
          <w:szCs w:val="24"/>
        </w:rPr>
      </w:pPr>
    </w:p>
    <w:p>
      <w:pPr>
        <w:spacing w:line="235" w:lineRule="auto"/>
        <w:ind w:left="175" w:hanging="190"/>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Tijani</w:t>
      </w:r>
      <w:r>
        <w:rPr>
          <w:rFonts w:hint="default" w:ascii="Times New Roman" w:hAnsi="Times New Roman" w:eastAsia="Arial" w:cs="Times New Roman"/>
          <w:sz w:val="24"/>
          <w:szCs w:val="24"/>
          <w:lang w:val="en-US"/>
        </w:rPr>
        <w:t>,</w:t>
      </w:r>
      <w:r>
        <w:rPr>
          <w:rFonts w:hint="default" w:ascii="Times New Roman" w:hAnsi="Times New Roman" w:eastAsia="Arial" w:cs="Times New Roman"/>
          <w:sz w:val="24"/>
          <w:szCs w:val="24"/>
        </w:rPr>
        <w:t xml:space="preserve"> A</w:t>
      </w:r>
      <w:r>
        <w:rPr>
          <w:rFonts w:hint="default" w:ascii="Times New Roman" w:hAnsi="Times New Roman" w:eastAsia="Arial" w:cs="Times New Roman"/>
          <w:sz w:val="24"/>
          <w:szCs w:val="24"/>
          <w:lang w:val="en-US"/>
        </w:rPr>
        <w:t>.</w:t>
      </w:r>
      <w:r>
        <w:rPr>
          <w:rFonts w:hint="default" w:ascii="Times New Roman" w:hAnsi="Times New Roman" w:eastAsia="Arial" w:cs="Times New Roman"/>
          <w:sz w:val="24"/>
          <w:szCs w:val="24"/>
        </w:rPr>
        <w:t xml:space="preserve">Y, Uguru MO, Salawu. OA (2008). Anti-pyretic, antiinflammatory and anti-diarrhoeal properties of </w:t>
      </w:r>
      <w:r>
        <w:rPr>
          <w:rFonts w:hint="default" w:ascii="Times New Roman" w:hAnsi="Times New Roman" w:eastAsia="Arial" w:cs="Times New Roman"/>
          <w:i/>
          <w:iCs/>
          <w:sz w:val="24"/>
          <w:szCs w:val="24"/>
        </w:rPr>
        <w:t xml:space="preserve">Faidherbia albida </w:t>
      </w:r>
      <w:r>
        <w:rPr>
          <w:rFonts w:hint="default" w:ascii="Times New Roman" w:hAnsi="Times New Roman" w:eastAsia="Arial" w:cs="Times New Roman"/>
          <w:sz w:val="24"/>
          <w:szCs w:val="24"/>
        </w:rPr>
        <w:t xml:space="preserve">in rats. Afr. J.  Biotechnol. 7 (6): 696 - 700. </w:t>
      </w:r>
    </w:p>
    <w:p>
      <w:pPr>
        <w:spacing w:line="235" w:lineRule="auto"/>
        <w:jc w:val="both"/>
        <w:rPr>
          <w:rFonts w:hint="default" w:ascii="Times New Roman" w:hAnsi="Times New Roman" w:cs="Times New Roman"/>
          <w:sz w:val="24"/>
          <w:szCs w:val="24"/>
        </w:rPr>
      </w:pPr>
    </w:p>
    <w:p>
      <w:pPr>
        <w:spacing w:line="360" w:lineRule="auto"/>
        <w:rPr>
          <w:rFonts w:hint="default" w:ascii="Times New Roman" w:hAnsi="Times New Roman" w:eastAsia="Arial" w:cs="Times New Roman"/>
          <w:sz w:val="24"/>
          <w:szCs w:val="24"/>
        </w:rPr>
      </w:pPr>
      <w:r>
        <w:rPr>
          <w:rFonts w:hint="default" w:ascii="Times New Roman" w:hAnsi="Times New Roman" w:eastAsia="Arial" w:cs="Times New Roman"/>
          <w:sz w:val="24"/>
          <w:szCs w:val="24"/>
        </w:rPr>
        <w:t>Tizard</w:t>
      </w:r>
      <w:r>
        <w:rPr>
          <w:rFonts w:hint="default" w:ascii="Times New Roman" w:hAnsi="Times New Roman" w:eastAsia="Arial" w:cs="Times New Roman"/>
          <w:sz w:val="24"/>
          <w:szCs w:val="24"/>
          <w:lang w:val="en-US"/>
        </w:rPr>
        <w:t>,</w:t>
      </w:r>
      <w:r>
        <w:rPr>
          <w:rFonts w:hint="default" w:ascii="Times New Roman" w:hAnsi="Times New Roman" w:eastAsia="Arial" w:cs="Times New Roman"/>
          <w:sz w:val="24"/>
          <w:szCs w:val="24"/>
        </w:rPr>
        <w:t xml:space="preserve"> I</w:t>
      </w:r>
      <w:r>
        <w:rPr>
          <w:rFonts w:hint="default" w:ascii="Times New Roman" w:hAnsi="Times New Roman" w:eastAsia="Arial" w:cs="Times New Roman"/>
          <w:sz w:val="24"/>
          <w:szCs w:val="24"/>
          <w:lang w:val="en-US"/>
        </w:rPr>
        <w:t>.</w:t>
      </w:r>
      <w:r>
        <w:rPr>
          <w:rFonts w:hint="default" w:ascii="Times New Roman" w:hAnsi="Times New Roman" w:eastAsia="Arial" w:cs="Times New Roman"/>
          <w:sz w:val="24"/>
          <w:szCs w:val="24"/>
        </w:rPr>
        <w:t xml:space="preserve">R, Holmes WI, Nielson K (1978) .Mechanism of anaemia in trypanosomiasis.Studies on the role of haemolytic fatty acids derived from </w:t>
      </w:r>
      <w:r>
        <w:rPr>
          <w:rFonts w:hint="default" w:ascii="Times New Roman" w:hAnsi="Times New Roman" w:eastAsia="Arial" w:cs="Times New Roman"/>
          <w:i/>
          <w:iCs/>
          <w:sz w:val="24"/>
          <w:szCs w:val="24"/>
        </w:rPr>
        <w:t>T.congolense</w:t>
      </w:r>
      <w:r>
        <w:rPr>
          <w:rFonts w:hint="default" w:ascii="Times New Roman" w:hAnsi="Times New Roman" w:eastAsia="Arial" w:cs="Times New Roman"/>
          <w:sz w:val="24"/>
          <w:szCs w:val="24"/>
        </w:rPr>
        <w:t xml:space="preserve">.Tropen.Med.parasitol 29: 108-114. </w:t>
      </w:r>
    </w:p>
    <w:p>
      <w:pPr>
        <w:spacing w:line="360" w:lineRule="auto"/>
        <w:rPr>
          <w:rFonts w:hint="default" w:ascii="Times New Roman" w:hAnsi="Times New Roman" w:eastAsia="SimSun" w:cs="Times New Roman"/>
          <w:sz w:val="24"/>
          <w:szCs w:val="24"/>
        </w:rPr>
      </w:pPr>
    </w:p>
    <w:p>
      <w:pPr>
        <w:spacing w:line="360"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Wannapa</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S, Gregory P, William F, Siems CA, Ryan RW, Dhirayos W </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2006</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Isolation and characterization of isoinhibitors of the potato protease inhibitor I family from the latex of the rubber trees, Hevea brasiliensis. Phytochemistry.;67(15): 1644-50</w:t>
      </w:r>
    </w:p>
    <w:p>
      <w:pPr>
        <w:spacing w:line="360" w:lineRule="auto"/>
        <w:rPr>
          <w:rFonts w:hint="default" w:ascii="Times New Roman" w:hAnsi="Times New Roman" w:eastAsia="SimSun" w:cs="Times New Roman"/>
          <w:sz w:val="24"/>
          <w:szCs w:val="24"/>
        </w:rPr>
      </w:pPr>
    </w:p>
    <w:p>
      <w:pPr>
        <w:spacing w:line="360"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WMR(2019)</w:t>
      </w:r>
      <w:r>
        <w:rPr>
          <w:rFonts w:hint="default" w:ascii="Times New Roman" w:hAnsi="Times New Roman" w:eastAsia="SimSun" w:cs="Times New Roman"/>
          <w:sz w:val="24"/>
          <w:szCs w:val="24"/>
        </w:rPr>
        <w:t xml:space="preserve">World malaria report. World Health Organization; </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201</w:t>
      </w:r>
      <w:r>
        <w:rPr>
          <w:rFonts w:hint="default" w:ascii="Times New Roman" w:hAnsi="Times New Roman" w:eastAsia="SimSun" w:cs="Times New Roman"/>
          <w:sz w:val="24"/>
          <w:szCs w:val="24"/>
          <w:lang w:val="en-US"/>
        </w:rPr>
        <w:t>9)</w:t>
      </w:r>
      <w:r>
        <w:rPr>
          <w:rFonts w:hint="default" w:ascii="Times New Roman" w:hAnsi="Times New Roman" w:eastAsia="SimSun" w:cs="Times New Roman"/>
          <w:sz w:val="24"/>
          <w:szCs w:val="24"/>
        </w:rPr>
        <w:t>: Geneva, Switzerland. :</w:t>
      </w:r>
    </w:p>
    <w:p>
      <w:pPr>
        <w:rPr>
          <w:rFonts w:hint="default" w:ascii="Times New Roman" w:hAnsi="Times New Roman" w:eastAsia="Arial" w:cs="Times New Roman"/>
          <w:sz w:val="24"/>
          <w:szCs w:val="24"/>
        </w:rPr>
      </w:pPr>
    </w:p>
    <w:p>
      <w:pPr>
        <w:spacing w:line="360" w:lineRule="auto"/>
        <w:rPr>
          <w:rFonts w:hint="default" w:ascii="Arial" w:hAnsi="Arial" w:eastAsia="Arial" w:cs="Arial"/>
          <w:sz w:val="1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GulliverRM">
    <w:altName w:val="Segoe Print"/>
    <w:panose1 w:val="00000000000000000000"/>
    <w:charset w:val="00"/>
    <w:family w:val="auto"/>
    <w:pitch w:val="default"/>
    <w:sig w:usb0="00000000" w:usb1="00000000" w:usb2="00000010" w:usb3="00000000" w:csb0="00020001"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NexusSans">
    <w:altName w:val="Segoe Print"/>
    <w:panose1 w:val="00000000000000000000"/>
    <w:charset w:val="00"/>
    <w:family w:val="auto"/>
    <w:pitch w:val="default"/>
    <w:sig w:usb0="00000000" w:usb1="00000000" w:usb2="00000000" w:usb3="00000000" w:csb0="00000000" w:csb1="00000000"/>
  </w:font>
  <w:font w:name="Showcard Gothic">
    <w:panose1 w:val="04020904020102020604"/>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E4"/>
    <w:rsid w:val="00097EFC"/>
    <w:rsid w:val="000A6755"/>
    <w:rsid w:val="000D23A1"/>
    <w:rsid w:val="00123E27"/>
    <w:rsid w:val="00270921"/>
    <w:rsid w:val="00284490"/>
    <w:rsid w:val="002D5542"/>
    <w:rsid w:val="003544C0"/>
    <w:rsid w:val="003675BA"/>
    <w:rsid w:val="00387796"/>
    <w:rsid w:val="00390389"/>
    <w:rsid w:val="003B3D15"/>
    <w:rsid w:val="004468EC"/>
    <w:rsid w:val="004970BD"/>
    <w:rsid w:val="004A0E8C"/>
    <w:rsid w:val="004F71DD"/>
    <w:rsid w:val="00533958"/>
    <w:rsid w:val="00597825"/>
    <w:rsid w:val="006A158A"/>
    <w:rsid w:val="00756792"/>
    <w:rsid w:val="007777B4"/>
    <w:rsid w:val="0079111E"/>
    <w:rsid w:val="007947A6"/>
    <w:rsid w:val="00827792"/>
    <w:rsid w:val="00857179"/>
    <w:rsid w:val="008B7772"/>
    <w:rsid w:val="008E5BE4"/>
    <w:rsid w:val="00962A9F"/>
    <w:rsid w:val="009E326E"/>
    <w:rsid w:val="009E6ACF"/>
    <w:rsid w:val="00C66C34"/>
    <w:rsid w:val="00CF3077"/>
    <w:rsid w:val="00D132ED"/>
    <w:rsid w:val="00D37B14"/>
    <w:rsid w:val="00E049AB"/>
    <w:rsid w:val="00F66341"/>
    <w:rsid w:val="06072AA8"/>
    <w:rsid w:val="244652AB"/>
    <w:rsid w:val="59C30EDD"/>
    <w:rsid w:val="704E0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pPr>
    <w:rPr>
      <w:rFonts w:ascii="Calibri" w:hAnsi="Calibri" w:eastAsia="Calibri" w:cs="Calibri"/>
      <w:color w:val="000000"/>
      <w:sz w:val="22"/>
      <w:szCs w:val="22"/>
      <w:lang w:val="en-US"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semiHidden/>
    <w:unhideWhenUsed/>
    <w:uiPriority w:val="99"/>
    <w:rPr>
      <w:color w:val="0000FF"/>
      <w:u w:val="single"/>
    </w:rPr>
  </w:style>
  <w:style w:type="paragraph" w:customStyle="1" w:styleId="6">
    <w:name w:val="Default"/>
    <w:uiPriority w:val="0"/>
    <w:pPr>
      <w:autoSpaceDE w:val="0"/>
      <w:autoSpaceDN w:val="0"/>
      <w:adjustRightInd w:val="0"/>
      <w:spacing w:after="0" w:line="240" w:lineRule="auto"/>
    </w:pPr>
    <w:rPr>
      <w:rFonts w:ascii="Arial" w:hAnsi="Arial" w:cs="Arial" w:eastAsiaTheme="minorHAnsi"/>
      <w:color w:val="000000"/>
      <w:sz w:val="24"/>
      <w:szCs w:val="24"/>
      <w:lang w:val="en-US" w:eastAsia="en-US" w:bidi="ar-SA"/>
    </w:rPr>
  </w:style>
  <w:style w:type="table" w:customStyle="1" w:styleId="7">
    <w:name w:val="TableGrid"/>
    <w:uiPriority w:val="0"/>
    <w:pPr>
      <w:spacing w:after="0" w:line="240" w:lineRule="auto"/>
    </w:pPr>
    <w:rPr>
      <w:rFonts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2399</Words>
  <Characters>13679</Characters>
  <Lines>113</Lines>
  <Paragraphs>32</Paragraphs>
  <TotalTime>8</TotalTime>
  <ScaleCrop>false</ScaleCrop>
  <LinksUpToDate>false</LinksUpToDate>
  <CharactersWithSpaces>16046</CharactersWithSpaces>
  <Application>WPS Office_11.2.0.10311_F1E327BC-269C-435d-A152-05C5408002CA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2021-03-06T09:13:00Z</dcterms:created>
  <dc:creator>USER</dc:creator>
  <cp:lastModifiedBy>hp</cp:lastModifiedBy>
  <dcterms:modified xsi:type="dcterms:W3CDTF">2022-08-06T21:08:51Z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1033-11.2.0.10311</vt:lpwstr>
  </property>
  <property fmtid="{D5CDD505-2E9C-101B-9397-08002B2CF9AE}" pid="3" name="ICV">
    <vt:lpwstr>58062243CA4244FE9650388CDAF91743</vt:lpwstr>
  </property>
</Properties>
</file>