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E1" w:rsidRPr="00BD5CE4" w:rsidRDefault="00594D79" w:rsidP="00E1200A">
      <w:pPr>
        <w:pStyle w:val="NormalWeb"/>
        <w:spacing w:before="0" w:beforeAutospacing="0" w:after="0" w:afterAutospacing="0"/>
        <w:jc w:val="both"/>
        <w:rPr>
          <w:b/>
          <w:bCs/>
          <w:iCs/>
          <w:lang w:val="en-GB"/>
        </w:rPr>
      </w:pPr>
      <w:r>
        <w:rPr>
          <w:b/>
          <w:bCs/>
          <w:lang w:val="en-GB"/>
        </w:rPr>
        <w:t xml:space="preserve">EVALUATION OF ANTIPLASMODIAL </w:t>
      </w:r>
      <w:r w:rsidR="00E56EE1" w:rsidRPr="00BD5CE4">
        <w:rPr>
          <w:b/>
          <w:bCs/>
          <w:lang w:val="en-GB"/>
        </w:rPr>
        <w:t>ACTIVITIES</w:t>
      </w:r>
      <w:r>
        <w:rPr>
          <w:b/>
          <w:bCs/>
          <w:lang w:val="en-GB"/>
        </w:rPr>
        <w:t xml:space="preserve"> </w:t>
      </w:r>
      <w:r w:rsidRPr="00BD5CE4">
        <w:rPr>
          <w:b/>
          <w:bCs/>
          <w:lang w:val="en-GB"/>
        </w:rPr>
        <w:t xml:space="preserve">AND SUBCHRONIC TOXICITY </w:t>
      </w:r>
      <w:r w:rsidR="00E56EE1" w:rsidRPr="00BD5CE4">
        <w:rPr>
          <w:b/>
          <w:bCs/>
          <w:lang w:val="en-GB"/>
        </w:rPr>
        <w:t xml:space="preserve">OF CYSTEINE PROTEASE  INHIBITORS  FROM  </w:t>
      </w:r>
      <w:r w:rsidR="00E56EE1" w:rsidRPr="00BD5CE4">
        <w:rPr>
          <w:b/>
          <w:bCs/>
          <w:i/>
          <w:iCs/>
          <w:lang w:val="en-GB"/>
        </w:rPr>
        <w:t>MORINGA OLEIFERA</w:t>
      </w:r>
      <w:r w:rsidR="00E56EE1" w:rsidRPr="00BD5CE4">
        <w:rPr>
          <w:b/>
          <w:bCs/>
          <w:iCs/>
          <w:lang w:val="en-GB"/>
        </w:rPr>
        <w:t>.</w:t>
      </w:r>
    </w:p>
    <w:p w:rsidR="00E56EE1" w:rsidRPr="00BD5CE4" w:rsidRDefault="00E56EE1" w:rsidP="00E1200A">
      <w:pPr>
        <w:pStyle w:val="NormalWeb"/>
        <w:spacing w:before="0" w:beforeAutospacing="0" w:after="0" w:afterAutospacing="0"/>
        <w:jc w:val="both"/>
        <w:rPr>
          <w:lang w:val="en-GB"/>
        </w:rPr>
      </w:pPr>
    </w:p>
    <w:p w:rsidR="00E56EE1" w:rsidRPr="00BD5CE4" w:rsidRDefault="00E56EE1" w:rsidP="00E1200A">
      <w:pPr>
        <w:pStyle w:val="NormalWeb"/>
        <w:spacing w:before="0" w:beforeAutospacing="0" w:after="0" w:afterAutospacing="0"/>
        <w:jc w:val="both"/>
        <w:rPr>
          <w:lang w:val="en-GB"/>
        </w:rPr>
      </w:pPr>
      <w:r w:rsidRPr="00BD5CE4">
        <w:rPr>
          <w:lang w:val="en-GB"/>
        </w:rPr>
        <w:t xml:space="preserve"> Abdulkadir</w:t>
      </w:r>
      <w:r w:rsidR="00594D79">
        <w:rPr>
          <w:lang w:val="en-GB"/>
        </w:rPr>
        <w:t>.A</w:t>
      </w:r>
      <w:bookmarkStart w:id="0" w:name="_GoBack"/>
      <w:bookmarkEnd w:id="0"/>
      <w:r w:rsidRPr="00BD5CE4">
        <w:rPr>
          <w:vertAlign w:val="superscript"/>
          <w:lang w:val="en-GB"/>
        </w:rPr>
        <w:t>1,2*</w:t>
      </w:r>
      <w:r w:rsidRPr="00BD5CE4">
        <w:rPr>
          <w:lang w:val="en-GB"/>
        </w:rPr>
        <w:t>.,I .A.Umar</w:t>
      </w:r>
      <w:r w:rsidRPr="00BD5CE4">
        <w:rPr>
          <w:vertAlign w:val="superscript"/>
          <w:lang w:val="en-GB"/>
        </w:rPr>
        <w:t>1</w:t>
      </w:r>
      <w:r w:rsidRPr="00BD5CE4">
        <w:rPr>
          <w:lang w:val="en-GB"/>
        </w:rPr>
        <w:t>., S. Ibrahim</w:t>
      </w:r>
      <w:r w:rsidRPr="00BD5CE4">
        <w:rPr>
          <w:vertAlign w:val="superscript"/>
          <w:lang w:val="en-GB"/>
        </w:rPr>
        <w:t>1</w:t>
      </w:r>
      <w:r w:rsidRPr="00BD5CE4">
        <w:rPr>
          <w:lang w:val="en-GB"/>
        </w:rPr>
        <w:t>.,E.Onyike</w:t>
      </w:r>
      <w:r w:rsidRPr="00BD5CE4">
        <w:rPr>
          <w:vertAlign w:val="superscript"/>
          <w:lang w:val="en-GB"/>
        </w:rPr>
        <w:t>1</w:t>
      </w:r>
      <w:r w:rsidRPr="00BD5CE4">
        <w:rPr>
          <w:b/>
          <w:bCs/>
          <w:lang w:val="en-GB"/>
        </w:rPr>
        <w:t>.,</w:t>
      </w:r>
      <w:r w:rsidRPr="00BD5CE4">
        <w:rPr>
          <w:lang w:val="en-GB"/>
        </w:rPr>
        <w:t xml:space="preserve"> Kabiru, A.Y</w:t>
      </w:r>
      <w:r w:rsidRPr="00BD5CE4">
        <w:rPr>
          <w:vertAlign w:val="superscript"/>
          <w:lang w:val="en-GB"/>
        </w:rPr>
        <w:t>2</w:t>
      </w:r>
    </w:p>
    <w:p w:rsidR="00E56EE1" w:rsidRPr="00BD5CE4" w:rsidRDefault="00E56EE1" w:rsidP="00E1200A">
      <w:pPr>
        <w:pStyle w:val="NormalWeb"/>
        <w:spacing w:before="0" w:beforeAutospacing="0" w:after="0" w:afterAutospacing="0"/>
        <w:jc w:val="both"/>
        <w:rPr>
          <w:lang w:val="en-GB"/>
        </w:rPr>
      </w:pPr>
      <w:r w:rsidRPr="00BD5CE4">
        <w:rPr>
          <w:lang w:val="en-GB"/>
        </w:rPr>
        <w:t xml:space="preserve"> </w:t>
      </w:r>
    </w:p>
    <w:p w:rsidR="00E56EE1" w:rsidRPr="00BD5CE4" w:rsidRDefault="00E56EE1" w:rsidP="00E1200A">
      <w:pPr>
        <w:pStyle w:val="NormalWeb"/>
        <w:spacing w:before="0" w:beforeAutospacing="0" w:after="0" w:afterAutospacing="0"/>
        <w:jc w:val="both"/>
        <w:rPr>
          <w:lang w:val="en-GB"/>
        </w:rPr>
      </w:pPr>
      <w:r w:rsidRPr="00BD5CE4">
        <w:rPr>
          <w:vertAlign w:val="superscript"/>
          <w:lang w:val="en-GB"/>
        </w:rPr>
        <w:t>1</w:t>
      </w:r>
      <w:r w:rsidRPr="00BD5CE4">
        <w:rPr>
          <w:lang w:val="en-GB"/>
        </w:rPr>
        <w:t xml:space="preserve"> Department of  Biochemistry,Ahmadu Bello University,Zaria.</w:t>
      </w:r>
    </w:p>
    <w:p w:rsidR="00E56EE1" w:rsidRPr="00BD5CE4" w:rsidRDefault="00E56EE1" w:rsidP="00E1200A">
      <w:pPr>
        <w:pStyle w:val="NormalWeb"/>
        <w:spacing w:before="0" w:beforeAutospacing="0" w:after="0" w:afterAutospacing="0"/>
        <w:jc w:val="both"/>
        <w:rPr>
          <w:lang w:val="en-GB"/>
        </w:rPr>
      </w:pPr>
      <w:r w:rsidRPr="00BD5CE4">
        <w:rPr>
          <w:vertAlign w:val="superscript"/>
          <w:lang w:val="en-GB"/>
        </w:rPr>
        <w:t>2</w:t>
      </w:r>
      <w:r w:rsidRPr="00BD5CE4">
        <w:rPr>
          <w:lang w:val="en-GB"/>
        </w:rPr>
        <w:t xml:space="preserve"> Department of  Biochemistry,Federal University of Technology,Minna.</w:t>
      </w:r>
    </w:p>
    <w:p w:rsidR="00E56EE1" w:rsidRPr="00BD5CE4" w:rsidRDefault="00E56EE1" w:rsidP="00E1200A">
      <w:pPr>
        <w:pStyle w:val="NormalWeb"/>
        <w:spacing w:before="0" w:beforeAutospacing="0" w:after="0" w:afterAutospacing="0"/>
        <w:jc w:val="both"/>
        <w:rPr>
          <w:lang w:val="en-GB"/>
        </w:rPr>
      </w:pPr>
    </w:p>
    <w:p w:rsidR="00E56EE1" w:rsidRPr="00BD5CE4" w:rsidRDefault="00E56EE1" w:rsidP="00E1200A">
      <w:pPr>
        <w:pStyle w:val="NormalWeb"/>
        <w:spacing w:before="0" w:beforeAutospacing="0" w:after="0" w:afterAutospacing="0"/>
        <w:jc w:val="both"/>
      </w:pPr>
      <w:r w:rsidRPr="00BD5CE4">
        <w:t>*Correspondence author:e-mail:abdulkadir.abdullahi@futminna.edu.ng,abkad2008@yahoo.com.</w:t>
      </w:r>
    </w:p>
    <w:p w:rsidR="00E56EE1" w:rsidRPr="00BD5CE4" w:rsidRDefault="00E56EE1" w:rsidP="00E1200A">
      <w:pPr>
        <w:pStyle w:val="NormalWeb"/>
        <w:spacing w:before="0" w:beforeAutospacing="0" w:after="0" w:afterAutospacing="0"/>
        <w:jc w:val="both"/>
      </w:pPr>
      <w:r w:rsidRPr="00BD5CE4">
        <w:t> </w:t>
      </w:r>
    </w:p>
    <w:p w:rsidR="00E56EE1" w:rsidRPr="00BD5CE4" w:rsidRDefault="00E56EE1" w:rsidP="00E1200A">
      <w:pPr>
        <w:pStyle w:val="NormalWeb"/>
        <w:spacing w:before="0" w:beforeAutospacing="0" w:after="0" w:afterAutospacing="0"/>
        <w:jc w:val="both"/>
        <w:rPr>
          <w:iCs/>
        </w:rPr>
      </w:pPr>
      <w:r w:rsidRPr="00BD5CE4">
        <w:rPr>
          <w:b/>
        </w:rPr>
        <w:t>Key Words</w:t>
      </w:r>
      <w:r w:rsidRPr="00BD5CE4">
        <w:t xml:space="preserve">: Cysteine protease,Inhibition, </w:t>
      </w:r>
      <w:r w:rsidRPr="00BD5CE4">
        <w:rPr>
          <w:i/>
        </w:rPr>
        <w:t>Plasmodiun berghei</w:t>
      </w:r>
      <w:r w:rsidRPr="00BD5CE4">
        <w:t xml:space="preserve">, Subchronic, </w:t>
      </w:r>
      <w:r w:rsidRPr="00BD5CE4">
        <w:rPr>
          <w:i/>
          <w:iCs/>
        </w:rPr>
        <w:t xml:space="preserve"> Moringa oleifera</w:t>
      </w:r>
      <w:r w:rsidRPr="00BD5CE4">
        <w:rPr>
          <w:iCs/>
        </w:rPr>
        <w:t>.</w:t>
      </w:r>
    </w:p>
    <w:p w:rsidR="00E56EE1" w:rsidRPr="00BD5CE4" w:rsidRDefault="00E1200A" w:rsidP="00E1200A">
      <w:pPr>
        <w:pStyle w:val="NormalWeb"/>
        <w:spacing w:before="0" w:beforeAutospacing="0" w:after="0" w:afterAutospacing="0"/>
        <w:jc w:val="both"/>
        <w:rPr>
          <w:b/>
        </w:rPr>
      </w:pPr>
      <w:r w:rsidRPr="00BD5CE4">
        <w:rPr>
          <w:b/>
        </w:rPr>
        <w:t>Abstract:</w:t>
      </w:r>
    </w:p>
    <w:p w:rsidR="00E56EE1" w:rsidRPr="00BD5CE4" w:rsidRDefault="00E56EE1" w:rsidP="00E1200A">
      <w:pPr>
        <w:jc w:val="both"/>
        <w:rPr>
          <w:rFonts w:ascii="Times New Roman" w:hAnsi="Times New Roman" w:cs="Times New Roman"/>
          <w:sz w:val="24"/>
          <w:szCs w:val="24"/>
        </w:rPr>
      </w:pPr>
      <w:r w:rsidRPr="00BD5CE4">
        <w:rPr>
          <w:rFonts w:ascii="Times New Roman" w:hAnsi="Times New Roman" w:cs="Times New Roman"/>
          <w:sz w:val="24"/>
          <w:szCs w:val="24"/>
        </w:rPr>
        <w:t xml:space="preserve">Plasmodium Cysteine Protease of  is a key enzyme in the life cycle of this   parasite.Different  extraction media  </w:t>
      </w:r>
      <w:r w:rsidRPr="00BD5CE4">
        <w:rPr>
          <w:rFonts w:ascii="Times New Roman" w:hAnsi="Times New Roman" w:cs="Times New Roman"/>
          <w:sz w:val="24"/>
          <w:szCs w:val="24"/>
          <w:lang w:val="en-GB"/>
        </w:rPr>
        <w:t>were used  to</w:t>
      </w:r>
      <w:r w:rsidRPr="00BD5CE4">
        <w:rPr>
          <w:rFonts w:ascii="Times New Roman" w:hAnsi="Times New Roman" w:cs="Times New Roman"/>
          <w:sz w:val="24"/>
          <w:szCs w:val="24"/>
        </w:rPr>
        <w:t xml:space="preserve">  evaluate   </w:t>
      </w:r>
      <w:r w:rsidRPr="00BD5CE4">
        <w:rPr>
          <w:rFonts w:ascii="Times New Roman" w:hAnsi="Times New Roman" w:cs="Times New Roman"/>
          <w:i/>
          <w:iCs/>
          <w:sz w:val="24"/>
          <w:szCs w:val="24"/>
          <w:lang w:val="en-GB"/>
        </w:rPr>
        <w:t xml:space="preserve"> </w:t>
      </w:r>
      <w:r w:rsidRPr="00BD5CE4">
        <w:rPr>
          <w:rFonts w:ascii="Times New Roman" w:hAnsi="Times New Roman" w:cs="Times New Roman"/>
          <w:sz w:val="24"/>
          <w:szCs w:val="24"/>
          <w:lang w:val="en-GB"/>
        </w:rPr>
        <w:t xml:space="preserve">leaves,root,flowers,seeds and stem bark of </w:t>
      </w:r>
      <w:r w:rsidRPr="00BD5CE4">
        <w:rPr>
          <w:rFonts w:ascii="Times New Roman" w:hAnsi="Times New Roman" w:cs="Times New Roman"/>
          <w:b/>
          <w:bCs/>
          <w:i/>
          <w:iCs/>
          <w:sz w:val="24"/>
          <w:szCs w:val="24"/>
          <w:lang w:val="en-GB"/>
        </w:rPr>
        <w:t xml:space="preserve"> </w:t>
      </w:r>
      <w:r w:rsidRPr="00BD5CE4">
        <w:rPr>
          <w:rFonts w:ascii="Times New Roman" w:hAnsi="Times New Roman" w:cs="Times New Roman"/>
          <w:i/>
          <w:iCs/>
          <w:sz w:val="24"/>
          <w:szCs w:val="24"/>
        </w:rPr>
        <w:t>Moringa oleifera</w:t>
      </w:r>
      <w:r w:rsidRPr="00BD5CE4">
        <w:rPr>
          <w:rFonts w:ascii="Times New Roman" w:hAnsi="Times New Roman" w:cs="Times New Roman"/>
          <w:i/>
          <w:iCs/>
          <w:sz w:val="24"/>
          <w:szCs w:val="24"/>
          <w:lang w:val="en-GB"/>
        </w:rPr>
        <w:t xml:space="preserve"> </w:t>
      </w:r>
      <w:r w:rsidRPr="00BD5CE4">
        <w:rPr>
          <w:rFonts w:ascii="Times New Roman" w:hAnsi="Times New Roman" w:cs="Times New Roman"/>
          <w:sz w:val="24"/>
          <w:szCs w:val="24"/>
          <w:lang w:val="en-GB"/>
        </w:rPr>
        <w:t xml:space="preserve"> for </w:t>
      </w:r>
      <w:r w:rsidRPr="00BD5CE4">
        <w:rPr>
          <w:rFonts w:ascii="Times New Roman" w:hAnsi="Times New Roman" w:cs="Times New Roman"/>
          <w:i/>
          <w:iCs/>
          <w:sz w:val="24"/>
          <w:szCs w:val="24"/>
          <w:lang w:val="en-GB"/>
        </w:rPr>
        <w:t xml:space="preserve"> </w:t>
      </w:r>
      <w:r w:rsidRPr="00BD5CE4">
        <w:rPr>
          <w:rFonts w:ascii="Times New Roman" w:hAnsi="Times New Roman" w:cs="Times New Roman"/>
          <w:sz w:val="24"/>
          <w:szCs w:val="24"/>
        </w:rPr>
        <w:t xml:space="preserve">  Cysteine Protease inhibitory activity against Papain enzyme.  </w:t>
      </w:r>
      <w:r w:rsidRPr="00BD5CE4">
        <w:rPr>
          <w:rFonts w:ascii="Times New Roman" w:hAnsi="Times New Roman" w:cs="Times New Roman"/>
          <w:sz w:val="24"/>
          <w:szCs w:val="24"/>
          <w:lang w:val="en-GB"/>
        </w:rPr>
        <w:t xml:space="preserve">Sodium phosphate buffer extract  of  Seeds of  </w:t>
      </w:r>
      <w:r w:rsidRPr="00BD5CE4">
        <w:rPr>
          <w:rFonts w:ascii="Times New Roman" w:hAnsi="Times New Roman" w:cs="Times New Roman"/>
          <w:i/>
          <w:iCs/>
          <w:sz w:val="24"/>
          <w:szCs w:val="24"/>
        </w:rPr>
        <w:t>Moringa oleifera</w:t>
      </w:r>
      <w:r w:rsidRPr="00BD5CE4">
        <w:rPr>
          <w:rFonts w:ascii="Times New Roman" w:hAnsi="Times New Roman" w:cs="Times New Roman"/>
          <w:i/>
          <w:iCs/>
          <w:sz w:val="24"/>
          <w:szCs w:val="24"/>
          <w:lang w:val="en-GB"/>
        </w:rPr>
        <w:t xml:space="preserve"> </w:t>
      </w:r>
      <w:r w:rsidRPr="00BD5CE4">
        <w:rPr>
          <w:rFonts w:ascii="Times New Roman" w:hAnsi="Times New Roman" w:cs="Times New Roman"/>
          <w:sz w:val="24"/>
          <w:szCs w:val="24"/>
          <w:lang w:val="en-GB"/>
        </w:rPr>
        <w:t xml:space="preserve">with highest </w:t>
      </w:r>
      <w:r w:rsidRPr="00BD5CE4">
        <w:rPr>
          <w:rFonts w:ascii="Times New Roman" w:hAnsi="Times New Roman" w:cs="Times New Roman"/>
          <w:sz w:val="24"/>
          <w:szCs w:val="24"/>
        </w:rPr>
        <w:t>Protease inhibitory activity</w:t>
      </w:r>
      <w:r w:rsidRPr="00BD5CE4">
        <w:rPr>
          <w:rFonts w:ascii="Times New Roman" w:hAnsi="Times New Roman" w:cs="Times New Roman"/>
          <w:sz w:val="24"/>
          <w:szCs w:val="24"/>
          <w:lang w:val="en-GB"/>
        </w:rPr>
        <w:t xml:space="preserve">  was  concentrated by  cold acetone precipitation and   freeze dried as crude  inhibitor protein extract.</w:t>
      </w:r>
      <w:r w:rsidRPr="00BD5CE4">
        <w:rPr>
          <w:rFonts w:ascii="Times New Roman" w:hAnsi="Times New Roman" w:cs="Times New Roman"/>
          <w:sz w:val="24"/>
          <w:szCs w:val="24"/>
        </w:rPr>
        <w:t xml:space="preserve">The effect of this extract   on subchronic  toxicity studies in mice was carried out. Inhibition of   </w:t>
      </w:r>
      <w:r w:rsidRPr="00BD5CE4">
        <w:rPr>
          <w:rFonts w:ascii="Times New Roman" w:hAnsi="Times New Roman" w:cs="Times New Roman"/>
          <w:i/>
          <w:iCs/>
          <w:sz w:val="24"/>
          <w:szCs w:val="24"/>
        </w:rPr>
        <w:t xml:space="preserve">Plasmodium berghei  </w:t>
      </w:r>
      <w:r w:rsidRPr="00BD5CE4">
        <w:rPr>
          <w:rFonts w:ascii="Times New Roman" w:hAnsi="Times New Roman" w:cs="Times New Roman"/>
          <w:sz w:val="24"/>
          <w:szCs w:val="24"/>
        </w:rPr>
        <w:t xml:space="preserve">Cysteine Protease and  invivo </w:t>
      </w:r>
      <w:r w:rsidRPr="00BD5CE4">
        <w:rPr>
          <w:rFonts w:ascii="Times New Roman" w:hAnsi="Times New Roman" w:cs="Times New Roman"/>
          <w:i/>
          <w:iCs/>
          <w:sz w:val="24"/>
          <w:szCs w:val="24"/>
        </w:rPr>
        <w:t>Plasmodium berghei</w:t>
      </w:r>
      <w:r w:rsidRPr="00BD5CE4">
        <w:rPr>
          <w:rFonts w:ascii="Times New Roman" w:hAnsi="Times New Roman" w:cs="Times New Roman"/>
          <w:sz w:val="24"/>
          <w:szCs w:val="24"/>
        </w:rPr>
        <w:t xml:space="preserve">  infected mice  by this extract  in graded doses of 20,50 and 70mg/kg body weight were  also evaluated.The crude  extract showed   inhibitory   activity  against Cysteine protease of</w:t>
      </w:r>
      <w:r w:rsidRPr="00BD5CE4">
        <w:rPr>
          <w:rFonts w:ascii="Times New Roman" w:hAnsi="Times New Roman" w:cs="Times New Roman"/>
          <w:i/>
          <w:iCs/>
          <w:sz w:val="24"/>
          <w:szCs w:val="24"/>
        </w:rPr>
        <w:t xml:space="preserve"> Plasmodium berghei  </w:t>
      </w:r>
      <w:r w:rsidRPr="00BD5CE4">
        <w:rPr>
          <w:rFonts w:ascii="Times New Roman" w:hAnsi="Times New Roman" w:cs="Times New Roman"/>
          <w:sz w:val="24"/>
          <w:szCs w:val="24"/>
        </w:rPr>
        <w:t>with  IC</w:t>
      </w:r>
      <w:r w:rsidRPr="00BD5CE4">
        <w:rPr>
          <w:rFonts w:ascii="Times New Roman" w:hAnsi="Times New Roman" w:cs="Times New Roman"/>
          <w:sz w:val="24"/>
          <w:szCs w:val="24"/>
          <w:vertAlign w:val="subscript"/>
        </w:rPr>
        <w:t>50</w:t>
      </w:r>
      <w:r w:rsidRPr="00BD5CE4">
        <w:rPr>
          <w:rFonts w:ascii="Times New Roman" w:hAnsi="Times New Roman" w:cs="Times New Roman"/>
          <w:sz w:val="24"/>
          <w:szCs w:val="24"/>
        </w:rPr>
        <w:t xml:space="preserve"> value of  18.20 µg/ml . In invivo model, the highest level of parasitemia suppression  of 57% was observed in 70 mg/kg body weight  of the crude  inhibitor extract.Subchronic toxicity of  the extract  at all concentrated used for treatment revealed  statistical significant elevation of  Body weight of mice and Triacylglycerol level,while  at 50 and  70mg/kg body weight concentration  there was significant increase in Glucose concentration.Total protein  and Alanine transaminase were found to be  elevated  at extract concentration of 50mg/kg body weight, but no significant changes were observed in  Packed cell volume, Aspartate transaminase and Alkaline phosohat</w:t>
      </w:r>
      <w:r w:rsidR="00E1200A" w:rsidRPr="00BD5CE4">
        <w:rPr>
          <w:rFonts w:ascii="Times New Roman" w:hAnsi="Times New Roman" w:cs="Times New Roman"/>
          <w:sz w:val="24"/>
          <w:szCs w:val="24"/>
        </w:rPr>
        <w:t>e enzyme.C</w:t>
      </w:r>
      <w:r w:rsidRPr="00BD5CE4">
        <w:rPr>
          <w:rFonts w:ascii="Times New Roman" w:hAnsi="Times New Roman" w:cs="Times New Roman"/>
          <w:sz w:val="24"/>
          <w:szCs w:val="24"/>
        </w:rPr>
        <w:t xml:space="preserve">rude cysteine protease inhibitor  from Seeds of  </w:t>
      </w:r>
      <w:r w:rsidRPr="00BD5CE4">
        <w:rPr>
          <w:rFonts w:ascii="Times New Roman" w:hAnsi="Times New Roman" w:cs="Times New Roman"/>
          <w:i/>
          <w:iCs/>
          <w:sz w:val="24"/>
          <w:szCs w:val="24"/>
        </w:rPr>
        <w:t>Moringa oleifera</w:t>
      </w:r>
      <w:r w:rsidRPr="00BD5CE4">
        <w:rPr>
          <w:rFonts w:ascii="Times New Roman" w:hAnsi="Times New Roman" w:cs="Times New Roman"/>
          <w:i/>
          <w:iCs/>
          <w:sz w:val="24"/>
          <w:szCs w:val="24"/>
          <w:lang w:val="en-GB"/>
        </w:rPr>
        <w:t xml:space="preserve"> </w:t>
      </w:r>
      <w:r w:rsidRPr="00BD5CE4">
        <w:rPr>
          <w:rFonts w:ascii="Times New Roman" w:hAnsi="Times New Roman" w:cs="Times New Roman"/>
          <w:sz w:val="24"/>
          <w:szCs w:val="24"/>
        </w:rPr>
        <w:t xml:space="preserve">is active against plasmodium  </w:t>
      </w:r>
      <w:r w:rsidRPr="00BD5CE4">
        <w:rPr>
          <w:rFonts w:ascii="Times New Roman" w:hAnsi="Times New Roman" w:cs="Times New Roman"/>
          <w:i/>
          <w:iCs/>
          <w:sz w:val="24"/>
          <w:szCs w:val="24"/>
        </w:rPr>
        <w:t xml:space="preserve"> </w:t>
      </w:r>
      <w:r w:rsidRPr="00BD5CE4">
        <w:rPr>
          <w:rFonts w:ascii="Times New Roman" w:hAnsi="Times New Roman" w:cs="Times New Roman"/>
          <w:sz w:val="24"/>
          <w:szCs w:val="24"/>
        </w:rPr>
        <w:t>Cysteine Protease  and in rodent malaria model .</w:t>
      </w:r>
    </w:p>
    <w:p w:rsidR="00E1200A" w:rsidRPr="00BD5CE4" w:rsidRDefault="00E1200A" w:rsidP="00E1200A">
      <w:pPr>
        <w:spacing w:line="240" w:lineRule="auto"/>
        <w:jc w:val="both"/>
        <w:rPr>
          <w:rFonts w:ascii="Times New Roman" w:hAnsi="Times New Roman" w:cs="Times New Roman"/>
          <w:sz w:val="24"/>
          <w:szCs w:val="24"/>
        </w:rPr>
      </w:pPr>
      <w:r w:rsidRPr="00BD5CE4">
        <w:rPr>
          <w:rFonts w:ascii="Times New Roman" w:hAnsi="Times New Roman" w:cs="Times New Roman"/>
          <w:b/>
          <w:sz w:val="24"/>
          <w:szCs w:val="24"/>
        </w:rPr>
        <w:t>Introduction</w:t>
      </w:r>
      <w:r w:rsidRPr="00BD5CE4">
        <w:rPr>
          <w:rFonts w:ascii="Times New Roman" w:hAnsi="Times New Roman" w:cs="Times New Roman"/>
          <w:sz w:val="24"/>
          <w:szCs w:val="24"/>
        </w:rPr>
        <w:t>.</w:t>
      </w:r>
    </w:p>
    <w:p w:rsidR="00E1200A" w:rsidRPr="00BD5CE4" w:rsidRDefault="00E1200A" w:rsidP="00E1200A">
      <w:pPr>
        <w:spacing w:line="240" w:lineRule="auto"/>
        <w:jc w:val="both"/>
        <w:rPr>
          <w:rFonts w:ascii="Times New Roman" w:hAnsi="Times New Roman" w:cs="Times New Roman"/>
          <w:sz w:val="24"/>
          <w:szCs w:val="24"/>
          <w:lang w:val="en-GB"/>
        </w:rPr>
      </w:pPr>
      <w:r w:rsidRPr="00BD5CE4">
        <w:rPr>
          <w:rFonts w:ascii="Times New Roman" w:hAnsi="Times New Roman" w:cs="Times New Roman"/>
          <w:sz w:val="24"/>
          <w:szCs w:val="24"/>
        </w:rPr>
        <w:t xml:space="preserve">Malaria is a major cause of morbidity and mortality and it is estimated that more than half  World population  were at risk of malaria with an estimated 0.7-1 million deaths per year and  over 106 countries are malaria-endemic(WMR, 2012).Evolution of resistance to most affordable drug such as chloroquine and  gradual decline in the efficacy of artemisinine base combination therapies(ACTs) in </w:t>
      </w:r>
      <w:r w:rsidRPr="00BD5CE4">
        <w:rPr>
          <w:rFonts w:ascii="Times New Roman" w:hAnsi="Times New Roman" w:cs="Times New Roman"/>
          <w:i/>
          <w:sz w:val="24"/>
          <w:szCs w:val="24"/>
        </w:rPr>
        <w:t>Plasmodium</w:t>
      </w:r>
      <w:r w:rsidRPr="00BD5CE4">
        <w:rPr>
          <w:rFonts w:ascii="Times New Roman" w:hAnsi="Times New Roman" w:cs="Times New Roman"/>
          <w:sz w:val="24"/>
          <w:szCs w:val="24"/>
        </w:rPr>
        <w:t xml:space="preserve"> species(Dondorp </w:t>
      </w:r>
      <w:r w:rsidRPr="00BD5CE4">
        <w:rPr>
          <w:rFonts w:ascii="Times New Roman" w:hAnsi="Times New Roman" w:cs="Times New Roman"/>
          <w:i/>
          <w:sz w:val="24"/>
          <w:szCs w:val="24"/>
        </w:rPr>
        <w:t>et al</w:t>
      </w:r>
      <w:r w:rsidRPr="00BD5CE4">
        <w:rPr>
          <w:rFonts w:ascii="Times New Roman" w:hAnsi="Times New Roman" w:cs="Times New Roman"/>
          <w:sz w:val="24"/>
          <w:szCs w:val="24"/>
        </w:rPr>
        <w:t xml:space="preserve"> 2009),with no effective vaccine in sight and resistance of vector to insecticides,  necessitates the need for novel entities, ideally directed against new targets such as  malarial  cysteine proteases (Rosental,2011;Karthik </w:t>
      </w:r>
      <w:r w:rsidRPr="00BD5CE4">
        <w:rPr>
          <w:rFonts w:ascii="Times New Roman" w:hAnsi="Times New Roman" w:cs="Times New Roman"/>
          <w:i/>
          <w:sz w:val="24"/>
          <w:szCs w:val="24"/>
        </w:rPr>
        <w:t>et al</w:t>
      </w:r>
      <w:r w:rsidRPr="00BD5CE4">
        <w:rPr>
          <w:rFonts w:ascii="Times New Roman" w:hAnsi="Times New Roman" w:cs="Times New Roman"/>
          <w:sz w:val="24"/>
          <w:szCs w:val="24"/>
        </w:rPr>
        <w:t xml:space="preserve"> 2014). The life cycle of malarial parasite exhibits two stages: exoerythrocytic cycle and erythrocytes life cycle. The erythrocytes life cycle was responsible for all clinical manifestations and it begins when   parasites(merozoites) invade erythrocytes and develop  to larger, more metabolically </w:t>
      </w:r>
      <w:r w:rsidRPr="00BD5CE4">
        <w:rPr>
          <w:rFonts w:ascii="Times New Roman" w:hAnsi="Times New Roman" w:cs="Times New Roman"/>
          <w:sz w:val="24"/>
          <w:szCs w:val="24"/>
        </w:rPr>
        <w:lastRenderedPageBreak/>
        <w:t xml:space="preserve">active form(trophozoites) followed by multinucleated schizont stages which bust out of red blood cells  and  reinvade the erythrocytes(Karthik </w:t>
      </w:r>
      <w:r w:rsidRPr="00BD5CE4">
        <w:rPr>
          <w:rFonts w:ascii="Times New Roman" w:hAnsi="Times New Roman" w:cs="Times New Roman"/>
          <w:i/>
          <w:sz w:val="24"/>
          <w:szCs w:val="24"/>
        </w:rPr>
        <w:t>et al</w:t>
      </w:r>
      <w:r w:rsidRPr="00BD5CE4">
        <w:rPr>
          <w:rFonts w:ascii="Times New Roman" w:hAnsi="Times New Roman" w:cs="Times New Roman"/>
          <w:sz w:val="24"/>
          <w:szCs w:val="24"/>
        </w:rPr>
        <w:t xml:space="preserve"> 2014).Plasmodium Cysteine protease  is required for the invation,rupture of erythrocytes and subsequent degradation of haemoglobin from the host(Rosental,2011).The amino acid released from haemoglobin degradation is used for the synthesis of  parasite protein  and hence survival of  these parasite inside the host organism.</w:t>
      </w:r>
      <w:r w:rsidRPr="00BD5CE4">
        <w:rPr>
          <w:rFonts w:ascii="Times New Roman" w:hAnsi="Times New Roman" w:cs="Times New Roman"/>
          <w:sz w:val="24"/>
          <w:szCs w:val="24"/>
          <w:lang w:val="en-GB"/>
        </w:rPr>
        <w:t xml:space="preserve"> Inhibition of </w:t>
      </w:r>
      <w:r w:rsidRPr="00BD5CE4">
        <w:rPr>
          <w:rFonts w:ascii="Times New Roman" w:hAnsi="Times New Roman" w:cs="Times New Roman"/>
          <w:sz w:val="24"/>
          <w:szCs w:val="24"/>
        </w:rPr>
        <w:t>haemoglobin</w:t>
      </w:r>
      <w:r w:rsidRPr="00BD5CE4">
        <w:rPr>
          <w:rFonts w:ascii="Times New Roman" w:hAnsi="Times New Roman" w:cs="Times New Roman"/>
          <w:sz w:val="24"/>
          <w:szCs w:val="24"/>
          <w:lang w:val="en-GB"/>
        </w:rPr>
        <w:t xml:space="preserve"> degradation offers a valid  target  for developement of novel chemotherapeutic agents.Cysteine protease inhibitor(CPI) in  plants  functions  as:storage proteins, regulators of endogenous proteolysis, cell death,defence  against insect and pathogens attack(</w:t>
      </w:r>
      <w:r w:rsidRPr="00BD5CE4">
        <w:rPr>
          <w:rFonts w:ascii="Times New Roman" w:hAnsi="Times New Roman" w:cs="Times New Roman"/>
          <w:sz w:val="24"/>
          <w:szCs w:val="24"/>
        </w:rPr>
        <w:t>Ceros and Carbonell 1993)</w:t>
      </w:r>
      <w:r w:rsidRPr="00BD5CE4">
        <w:rPr>
          <w:rFonts w:ascii="Times New Roman" w:hAnsi="Times New Roman" w:cs="Times New Roman"/>
          <w:sz w:val="24"/>
          <w:szCs w:val="24"/>
          <w:lang w:val="en-GB"/>
        </w:rPr>
        <w:t xml:space="preserve">.Efficacy of synthetic peptides CPI and non protein CPI from plants  in treatment of diseases caused by </w:t>
      </w:r>
      <w:r w:rsidRPr="00BD5CE4">
        <w:rPr>
          <w:rFonts w:ascii="Times New Roman" w:hAnsi="Times New Roman" w:cs="Times New Roman"/>
          <w:i/>
          <w:iCs/>
          <w:sz w:val="24"/>
          <w:szCs w:val="24"/>
          <w:lang w:val="en-GB"/>
        </w:rPr>
        <w:t>Trypanosoma cruzi</w:t>
      </w:r>
      <w:r w:rsidRPr="00BD5CE4">
        <w:rPr>
          <w:rFonts w:ascii="Times New Roman" w:hAnsi="Times New Roman" w:cs="Times New Roman"/>
          <w:sz w:val="24"/>
          <w:szCs w:val="24"/>
          <w:lang w:val="en-GB"/>
        </w:rPr>
        <w:t xml:space="preserve">, </w:t>
      </w:r>
      <w:r w:rsidRPr="00BD5CE4">
        <w:rPr>
          <w:rFonts w:ascii="Times New Roman" w:hAnsi="Times New Roman" w:cs="Times New Roman"/>
          <w:i/>
          <w:iCs/>
          <w:sz w:val="24"/>
          <w:szCs w:val="24"/>
          <w:lang w:val="en-GB"/>
        </w:rPr>
        <w:t xml:space="preserve">Leishmania major, </w:t>
      </w:r>
      <w:r w:rsidRPr="00BD5CE4">
        <w:rPr>
          <w:rFonts w:ascii="Times New Roman" w:hAnsi="Times New Roman" w:cs="Times New Roman"/>
          <w:sz w:val="24"/>
          <w:szCs w:val="24"/>
          <w:lang w:val="en-GB"/>
        </w:rPr>
        <w:t xml:space="preserve">viruses and </w:t>
      </w:r>
      <w:r w:rsidRPr="00BD5CE4">
        <w:rPr>
          <w:rFonts w:ascii="Times New Roman" w:hAnsi="Times New Roman" w:cs="Times New Roman"/>
          <w:i/>
          <w:iCs/>
          <w:sz w:val="24"/>
          <w:szCs w:val="24"/>
          <w:lang w:val="en-GB"/>
        </w:rPr>
        <w:t xml:space="preserve"> </w:t>
      </w:r>
      <w:r w:rsidRPr="00BD5CE4">
        <w:rPr>
          <w:rFonts w:ascii="Times New Roman" w:hAnsi="Times New Roman" w:cs="Times New Roman"/>
          <w:sz w:val="24"/>
          <w:szCs w:val="24"/>
          <w:lang w:val="en-GB"/>
        </w:rPr>
        <w:t>cancer treatment has been established(</w:t>
      </w:r>
      <w:r w:rsidRPr="00BD5CE4">
        <w:rPr>
          <w:rFonts w:ascii="Times New Roman" w:hAnsi="Times New Roman" w:cs="Times New Roman"/>
          <w:color w:val="231F20"/>
          <w:sz w:val="24"/>
          <w:szCs w:val="24"/>
        </w:rPr>
        <w:t xml:space="preserve">Mane </w:t>
      </w:r>
      <w:r w:rsidRPr="00BD5CE4">
        <w:rPr>
          <w:rFonts w:ascii="Times New Roman" w:hAnsi="Times New Roman" w:cs="Times New Roman"/>
          <w:i/>
          <w:color w:val="231F20"/>
          <w:sz w:val="24"/>
          <w:szCs w:val="24"/>
        </w:rPr>
        <w:t>et al</w:t>
      </w:r>
      <w:r w:rsidRPr="00BD5CE4">
        <w:rPr>
          <w:rFonts w:ascii="Times New Roman" w:hAnsi="Times New Roman" w:cs="Times New Roman"/>
          <w:color w:val="231F20"/>
          <w:sz w:val="24"/>
          <w:szCs w:val="24"/>
        </w:rPr>
        <w:t>,2013)</w:t>
      </w:r>
      <w:r w:rsidRPr="00BD5CE4">
        <w:rPr>
          <w:rFonts w:ascii="Times New Roman" w:hAnsi="Times New Roman" w:cs="Times New Roman"/>
          <w:sz w:val="24"/>
          <w:szCs w:val="24"/>
          <w:lang w:val="en-GB"/>
        </w:rPr>
        <w:t>.</w:t>
      </w:r>
    </w:p>
    <w:p w:rsidR="00D86083" w:rsidRPr="00BD5CE4" w:rsidRDefault="00D86083" w:rsidP="00D86083">
      <w:pPr>
        <w:pStyle w:val="Default"/>
        <w:rPr>
          <w:rFonts w:ascii="Times New Roman" w:hAnsi="Times New Roman" w:cs="Times New Roman"/>
        </w:rPr>
      </w:pPr>
    </w:p>
    <w:p w:rsidR="0087622F" w:rsidRPr="00BD5CE4" w:rsidRDefault="00D86083" w:rsidP="0087622F">
      <w:pPr>
        <w:autoSpaceDE w:val="0"/>
        <w:autoSpaceDN w:val="0"/>
        <w:adjustRightInd w:val="0"/>
        <w:spacing w:after="0" w:line="240" w:lineRule="auto"/>
        <w:jc w:val="both"/>
        <w:rPr>
          <w:rFonts w:ascii="Times New Roman" w:hAnsi="Times New Roman" w:cs="Times New Roman"/>
          <w:sz w:val="24"/>
          <w:szCs w:val="24"/>
        </w:rPr>
      </w:pPr>
      <w:r w:rsidRPr="00BD5CE4">
        <w:rPr>
          <w:rFonts w:ascii="Times New Roman" w:hAnsi="Times New Roman" w:cs="Times New Roman"/>
          <w:sz w:val="24"/>
          <w:szCs w:val="24"/>
        </w:rPr>
        <w:t xml:space="preserve"> M</w:t>
      </w:r>
      <w:r w:rsidRPr="00BD5CE4">
        <w:rPr>
          <w:rFonts w:ascii="Times New Roman" w:hAnsi="Times New Roman" w:cs="Times New Roman"/>
          <w:i/>
          <w:iCs/>
          <w:sz w:val="24"/>
          <w:szCs w:val="24"/>
        </w:rPr>
        <w:t xml:space="preserve">oringa </w:t>
      </w:r>
      <w:r w:rsidRPr="00BD5CE4">
        <w:rPr>
          <w:rFonts w:ascii="Times New Roman" w:hAnsi="Times New Roman" w:cs="Times New Roman"/>
          <w:sz w:val="24"/>
          <w:szCs w:val="24"/>
        </w:rPr>
        <w:t>is a shrub plant, an angiosperm, dicot and perennial. It is also called drumstick tree, horseradish tree or Ben tree,</w:t>
      </w:r>
      <w:r w:rsidRPr="00BD5CE4">
        <w:rPr>
          <w:rFonts w:ascii="Times New Roman" w:hAnsi="Times New Roman" w:cs="Times New Roman"/>
          <w:i/>
          <w:iCs/>
          <w:sz w:val="24"/>
          <w:szCs w:val="24"/>
        </w:rPr>
        <w:t xml:space="preserve"> Moringa </w:t>
      </w:r>
      <w:r w:rsidRPr="00BD5CE4">
        <w:rPr>
          <w:rFonts w:ascii="Times New Roman" w:hAnsi="Times New Roman" w:cs="Times New Roman"/>
          <w:sz w:val="24"/>
          <w:szCs w:val="24"/>
        </w:rPr>
        <w:t>has been proven to be useful sources of food, medicinal products, fuelwood, renewable polymer products, animal and aquaculture feeds</w:t>
      </w:r>
      <w:r w:rsidR="0087622F" w:rsidRPr="00BD5CE4">
        <w:rPr>
          <w:rFonts w:ascii="Times New Roman" w:hAnsi="Times New Roman" w:cs="Times New Roman"/>
          <w:sz w:val="24"/>
          <w:szCs w:val="24"/>
        </w:rPr>
        <w:t xml:space="preserve">(Gidamis </w:t>
      </w:r>
      <w:r w:rsidR="0087622F" w:rsidRPr="00BD5CE4">
        <w:rPr>
          <w:rFonts w:ascii="Times New Roman" w:hAnsi="Times New Roman" w:cs="Times New Roman"/>
          <w:i/>
          <w:sz w:val="24"/>
          <w:szCs w:val="24"/>
        </w:rPr>
        <w:t>et al</w:t>
      </w:r>
      <w:r w:rsidR="0087622F" w:rsidRPr="00BD5CE4">
        <w:rPr>
          <w:rFonts w:ascii="Times New Roman" w:hAnsi="Times New Roman" w:cs="Times New Roman"/>
          <w:sz w:val="24"/>
          <w:szCs w:val="24"/>
        </w:rPr>
        <w:t>., 2003).</w:t>
      </w:r>
      <w:r w:rsidRPr="00BD5CE4">
        <w:rPr>
          <w:rFonts w:ascii="Times New Roman" w:hAnsi="Times New Roman" w:cs="Times New Roman"/>
          <w:sz w:val="24"/>
          <w:szCs w:val="24"/>
        </w:rPr>
        <w:t xml:space="preserve"> In Nigeria, it is locally used as tonic and aphrodisiac, and in the treatment of intestinal worms and asthma. </w:t>
      </w:r>
      <w:r w:rsidR="0087622F" w:rsidRPr="00BD5CE4">
        <w:rPr>
          <w:rFonts w:ascii="Times New Roman" w:hAnsi="Times New Roman" w:cs="Times New Roman"/>
          <w:sz w:val="24"/>
          <w:szCs w:val="24"/>
        </w:rPr>
        <w:t>various parts of the tree are used therapeutically, including for treatment of rheumatism, venomous bites, and as cardiac and circulatory stimulants, cholera, scurvy, respiratory ailments, tumours and they are also applied externally to cure inflammatory swellings. Juice extracted from the leaves has antibacterial and antimalarial properties (</w:t>
      </w:r>
      <w:r w:rsidR="0087622F" w:rsidRPr="00BD5CE4">
        <w:rPr>
          <w:rFonts w:ascii="Times New Roman" w:hAnsi="Times New Roman" w:cs="Times New Roman"/>
          <w:bCs/>
          <w:sz w:val="24"/>
          <w:szCs w:val="24"/>
        </w:rPr>
        <w:t xml:space="preserve">Olasehinde </w:t>
      </w:r>
      <w:r w:rsidR="0087622F" w:rsidRPr="00BD5CE4">
        <w:rPr>
          <w:rFonts w:ascii="Times New Roman" w:hAnsi="Times New Roman" w:cs="Times New Roman"/>
          <w:bCs/>
          <w:i/>
          <w:sz w:val="24"/>
          <w:szCs w:val="24"/>
        </w:rPr>
        <w:t>et al</w:t>
      </w:r>
      <w:r w:rsidR="0087622F" w:rsidRPr="00BD5CE4">
        <w:rPr>
          <w:rFonts w:ascii="Times New Roman" w:hAnsi="Times New Roman" w:cs="Times New Roman"/>
          <w:bCs/>
          <w:sz w:val="24"/>
          <w:szCs w:val="24"/>
        </w:rPr>
        <w:t>,2012)</w:t>
      </w:r>
      <w:r w:rsidR="0087622F" w:rsidRPr="00BD5CE4">
        <w:rPr>
          <w:rFonts w:ascii="Times New Roman" w:hAnsi="Times New Roman" w:cs="Times New Roman"/>
          <w:sz w:val="24"/>
          <w:szCs w:val="24"/>
        </w:rPr>
        <w:t xml:space="preserve">. Anti-plasmodium properties of the cysteine protease inhibitor  from crude extract  of </w:t>
      </w:r>
      <w:r w:rsidR="0087622F" w:rsidRPr="00BD5CE4">
        <w:rPr>
          <w:rFonts w:ascii="Times New Roman" w:hAnsi="Times New Roman" w:cs="Times New Roman"/>
          <w:i/>
          <w:iCs/>
          <w:sz w:val="24"/>
          <w:szCs w:val="24"/>
          <w:lang w:val="en-GB"/>
        </w:rPr>
        <w:t xml:space="preserve">Moringa oleifera </w:t>
      </w:r>
      <w:r w:rsidR="0087622F" w:rsidRPr="00BD5CE4">
        <w:rPr>
          <w:rFonts w:ascii="Times New Roman" w:hAnsi="Times New Roman" w:cs="Times New Roman"/>
          <w:iCs/>
          <w:sz w:val="24"/>
          <w:szCs w:val="24"/>
          <w:lang w:val="en-GB"/>
        </w:rPr>
        <w:t>seed is reported.</w:t>
      </w:r>
    </w:p>
    <w:p w:rsidR="00D86083" w:rsidRPr="00BD5CE4" w:rsidRDefault="00D86083" w:rsidP="0087622F">
      <w:pPr>
        <w:pStyle w:val="Default"/>
        <w:rPr>
          <w:rFonts w:ascii="Times New Roman" w:hAnsi="Times New Roman" w:cs="Times New Roman"/>
        </w:rPr>
      </w:pPr>
    </w:p>
    <w:p w:rsidR="00E1200A" w:rsidRPr="00BD5CE4" w:rsidRDefault="00E1200A" w:rsidP="00E1200A">
      <w:pPr>
        <w:autoSpaceDE w:val="0"/>
        <w:autoSpaceDN w:val="0"/>
        <w:adjustRightInd w:val="0"/>
        <w:spacing w:after="0" w:line="240" w:lineRule="auto"/>
        <w:jc w:val="both"/>
        <w:rPr>
          <w:rFonts w:ascii="Times New Roman" w:hAnsi="Times New Roman" w:cs="Times New Roman"/>
          <w:color w:val="000000"/>
          <w:sz w:val="24"/>
          <w:szCs w:val="24"/>
        </w:rPr>
      </w:pPr>
      <w:r w:rsidRPr="00BD5CE4">
        <w:rPr>
          <w:rFonts w:ascii="Times New Roman" w:hAnsi="Times New Roman" w:cs="Times New Roman"/>
          <w:b/>
          <w:color w:val="000000"/>
          <w:sz w:val="24"/>
          <w:szCs w:val="24"/>
        </w:rPr>
        <w:t>Method:</w:t>
      </w:r>
      <w:r w:rsidRPr="00BD5CE4">
        <w:rPr>
          <w:rFonts w:ascii="Times New Roman" w:hAnsi="Times New Roman" w:cs="Times New Roman"/>
          <w:color w:val="000000"/>
          <w:sz w:val="24"/>
          <w:szCs w:val="24"/>
        </w:rPr>
        <w:t xml:space="preserve">    </w:t>
      </w:r>
    </w:p>
    <w:p w:rsidR="00E1200A" w:rsidRPr="00BD5CE4" w:rsidRDefault="00E1200A" w:rsidP="00E1200A">
      <w:pPr>
        <w:autoSpaceDE w:val="0"/>
        <w:autoSpaceDN w:val="0"/>
        <w:adjustRightInd w:val="0"/>
        <w:spacing w:after="0" w:line="240" w:lineRule="auto"/>
        <w:jc w:val="both"/>
        <w:rPr>
          <w:rFonts w:ascii="Times New Roman" w:hAnsi="Times New Roman" w:cs="Times New Roman"/>
          <w:color w:val="000000"/>
          <w:sz w:val="24"/>
          <w:szCs w:val="24"/>
        </w:rPr>
      </w:pPr>
      <w:r w:rsidRPr="00BD5CE4">
        <w:rPr>
          <w:rFonts w:ascii="Times New Roman" w:hAnsi="Times New Roman" w:cs="Times New Roman"/>
          <w:b/>
          <w:bCs/>
          <w:color w:val="000000"/>
          <w:sz w:val="24"/>
          <w:szCs w:val="24"/>
          <w:lang w:val="en-GB"/>
        </w:rPr>
        <w:t>Plant Material:</w:t>
      </w:r>
      <w:r w:rsidRPr="00BD5CE4">
        <w:rPr>
          <w:rFonts w:ascii="Times New Roman" w:hAnsi="Times New Roman" w:cs="Times New Roman"/>
          <w:color w:val="000000"/>
          <w:sz w:val="24"/>
          <w:szCs w:val="24"/>
          <w:lang w:val="en-GB"/>
        </w:rPr>
        <w:t>The plants was collected and   identified in the Dep</w:t>
      </w:r>
      <w:r w:rsidR="00D86083" w:rsidRPr="00BD5CE4">
        <w:rPr>
          <w:rFonts w:ascii="Times New Roman" w:hAnsi="Times New Roman" w:cs="Times New Roman"/>
          <w:color w:val="000000"/>
          <w:sz w:val="24"/>
          <w:szCs w:val="24"/>
          <w:lang w:val="en-GB"/>
        </w:rPr>
        <w:t xml:space="preserve">artment of Biolological </w:t>
      </w:r>
      <w:r w:rsidRPr="00BD5CE4">
        <w:rPr>
          <w:rFonts w:ascii="Times New Roman" w:hAnsi="Times New Roman" w:cs="Times New Roman"/>
          <w:color w:val="000000"/>
          <w:sz w:val="24"/>
          <w:szCs w:val="24"/>
          <w:lang w:val="en-GB"/>
        </w:rPr>
        <w:t>Sci</w:t>
      </w:r>
      <w:r w:rsidR="00D86083" w:rsidRPr="00BD5CE4">
        <w:rPr>
          <w:rFonts w:ascii="Times New Roman" w:hAnsi="Times New Roman" w:cs="Times New Roman"/>
          <w:color w:val="000000"/>
          <w:sz w:val="24"/>
          <w:szCs w:val="24"/>
          <w:lang w:val="en-GB"/>
        </w:rPr>
        <w:t>ences</w:t>
      </w:r>
      <w:r w:rsidRPr="00BD5CE4">
        <w:rPr>
          <w:rFonts w:ascii="Times New Roman" w:hAnsi="Times New Roman" w:cs="Times New Roman"/>
          <w:color w:val="000000"/>
          <w:sz w:val="24"/>
          <w:szCs w:val="24"/>
          <w:lang w:val="en-GB"/>
        </w:rPr>
        <w:t>,F.U.T.,Minna.Seeds, leave,</w:t>
      </w:r>
      <w:r w:rsidR="00D86083" w:rsidRPr="00BD5CE4">
        <w:rPr>
          <w:rFonts w:ascii="Times New Roman" w:hAnsi="Times New Roman" w:cs="Times New Roman"/>
          <w:color w:val="000000"/>
          <w:sz w:val="24"/>
          <w:szCs w:val="24"/>
          <w:lang w:val="en-GB"/>
        </w:rPr>
        <w:t>, flowers,root and stem bark were</w:t>
      </w:r>
      <w:r w:rsidRPr="00BD5CE4">
        <w:rPr>
          <w:rFonts w:ascii="Times New Roman" w:hAnsi="Times New Roman" w:cs="Times New Roman"/>
          <w:color w:val="000000"/>
          <w:sz w:val="24"/>
          <w:szCs w:val="24"/>
          <w:lang w:val="en-GB"/>
        </w:rPr>
        <w:t xml:space="preserve">   used for the study.</w:t>
      </w:r>
    </w:p>
    <w:p w:rsidR="00E1200A" w:rsidRPr="00BD5CE4" w:rsidRDefault="00E1200A" w:rsidP="00E1200A">
      <w:pPr>
        <w:autoSpaceDE w:val="0"/>
        <w:autoSpaceDN w:val="0"/>
        <w:adjustRightInd w:val="0"/>
        <w:spacing w:after="0" w:line="240" w:lineRule="auto"/>
        <w:jc w:val="both"/>
        <w:rPr>
          <w:rFonts w:ascii="Times New Roman" w:hAnsi="Times New Roman" w:cs="Times New Roman"/>
          <w:color w:val="000000"/>
          <w:sz w:val="24"/>
          <w:szCs w:val="24"/>
        </w:rPr>
      </w:pPr>
      <w:r w:rsidRPr="00BD5CE4">
        <w:rPr>
          <w:rFonts w:ascii="Times New Roman" w:hAnsi="Times New Roman" w:cs="Times New Roman"/>
          <w:b/>
          <w:bCs/>
          <w:color w:val="000000"/>
          <w:sz w:val="24"/>
          <w:szCs w:val="24"/>
          <w:lang w:val="en-GB"/>
        </w:rPr>
        <w:t>Animals:</w:t>
      </w:r>
      <w:r w:rsidRPr="00BD5CE4">
        <w:rPr>
          <w:rFonts w:ascii="Times New Roman" w:hAnsi="Times New Roman" w:cs="Times New Roman"/>
          <w:color w:val="000000"/>
          <w:sz w:val="24"/>
          <w:szCs w:val="24"/>
          <w:lang w:val="en-GB"/>
        </w:rPr>
        <w:t xml:space="preserve"> Swiss albino mice of either sexes, ages  4 - 6 weeks old and </w:t>
      </w:r>
      <w:r w:rsidR="00D86083" w:rsidRPr="00BD5CE4">
        <w:rPr>
          <w:rFonts w:ascii="Times New Roman" w:hAnsi="Times New Roman" w:cs="Times New Roman"/>
          <w:color w:val="000000"/>
          <w:sz w:val="24"/>
          <w:szCs w:val="24"/>
          <w:lang w:val="en-GB"/>
        </w:rPr>
        <w:t>weighing  20 - 25 g each were</w:t>
      </w:r>
      <w:r w:rsidRPr="00BD5CE4">
        <w:rPr>
          <w:rFonts w:ascii="Times New Roman" w:hAnsi="Times New Roman" w:cs="Times New Roman"/>
          <w:color w:val="000000"/>
          <w:sz w:val="24"/>
          <w:szCs w:val="24"/>
          <w:lang w:val="en-GB"/>
        </w:rPr>
        <w:t xml:space="preserve"> used.</w:t>
      </w:r>
    </w:p>
    <w:p w:rsidR="00E1200A" w:rsidRPr="00BD5CE4" w:rsidRDefault="00E1200A" w:rsidP="00E1200A">
      <w:pPr>
        <w:autoSpaceDE w:val="0"/>
        <w:autoSpaceDN w:val="0"/>
        <w:adjustRightInd w:val="0"/>
        <w:spacing w:after="0" w:line="240" w:lineRule="auto"/>
        <w:jc w:val="both"/>
        <w:rPr>
          <w:rFonts w:ascii="Times New Roman" w:hAnsi="Times New Roman" w:cs="Times New Roman"/>
          <w:color w:val="000000"/>
          <w:sz w:val="24"/>
          <w:szCs w:val="24"/>
        </w:rPr>
      </w:pPr>
      <w:r w:rsidRPr="00BD5CE4">
        <w:rPr>
          <w:rFonts w:ascii="Times New Roman" w:hAnsi="Times New Roman" w:cs="Times New Roman"/>
          <w:b/>
          <w:bCs/>
          <w:color w:val="000000"/>
          <w:sz w:val="24"/>
          <w:szCs w:val="24"/>
          <w:lang w:val="en-GB"/>
        </w:rPr>
        <w:t>Parasite:</w:t>
      </w:r>
      <w:r w:rsidRPr="00BD5CE4">
        <w:rPr>
          <w:rFonts w:ascii="Times New Roman" w:hAnsi="Times New Roman" w:cs="Times New Roman"/>
          <w:i/>
          <w:iCs/>
          <w:color w:val="000000"/>
          <w:sz w:val="24"/>
          <w:szCs w:val="24"/>
          <w:lang w:val="en-GB"/>
        </w:rPr>
        <w:t xml:space="preserve">Plasmodium berghei </w:t>
      </w:r>
      <w:r w:rsidRPr="00BD5CE4">
        <w:rPr>
          <w:rFonts w:ascii="Times New Roman" w:hAnsi="Times New Roman" w:cs="Times New Roman"/>
          <w:color w:val="000000"/>
          <w:sz w:val="24"/>
          <w:szCs w:val="24"/>
          <w:lang w:val="en-GB"/>
        </w:rPr>
        <w:t xml:space="preserve">NK65 </w:t>
      </w:r>
      <w:r w:rsidR="00D86083" w:rsidRPr="00BD5CE4">
        <w:rPr>
          <w:rFonts w:ascii="Times New Roman" w:hAnsi="Times New Roman" w:cs="Times New Roman"/>
          <w:color w:val="000000"/>
          <w:sz w:val="24"/>
          <w:szCs w:val="24"/>
          <w:lang w:val="en-GB"/>
        </w:rPr>
        <w:t>strain was</w:t>
      </w:r>
      <w:r w:rsidRPr="00BD5CE4">
        <w:rPr>
          <w:rFonts w:ascii="Times New Roman" w:hAnsi="Times New Roman" w:cs="Times New Roman"/>
          <w:color w:val="000000"/>
          <w:sz w:val="24"/>
          <w:szCs w:val="24"/>
          <w:lang w:val="en-GB"/>
        </w:rPr>
        <w:t xml:space="preserve"> obtained from Dep</w:t>
      </w:r>
      <w:r w:rsidR="00D86083" w:rsidRPr="00BD5CE4">
        <w:rPr>
          <w:rFonts w:ascii="Times New Roman" w:hAnsi="Times New Roman" w:cs="Times New Roman"/>
          <w:color w:val="000000"/>
          <w:sz w:val="24"/>
          <w:szCs w:val="24"/>
          <w:lang w:val="en-GB"/>
        </w:rPr>
        <w:t>artment</w:t>
      </w:r>
      <w:r w:rsidRPr="00BD5CE4">
        <w:rPr>
          <w:rFonts w:ascii="Times New Roman" w:hAnsi="Times New Roman" w:cs="Times New Roman"/>
          <w:color w:val="000000"/>
          <w:sz w:val="24"/>
          <w:szCs w:val="24"/>
          <w:lang w:val="en-GB"/>
        </w:rPr>
        <w:t>t of Pharmacology,A.B.U,Zaria.</w:t>
      </w:r>
    </w:p>
    <w:p w:rsidR="00E1200A" w:rsidRPr="00BD5CE4" w:rsidRDefault="00E1200A" w:rsidP="00E1200A">
      <w:pPr>
        <w:autoSpaceDE w:val="0"/>
        <w:autoSpaceDN w:val="0"/>
        <w:adjustRightInd w:val="0"/>
        <w:spacing w:after="0" w:line="240" w:lineRule="auto"/>
        <w:jc w:val="both"/>
        <w:rPr>
          <w:rFonts w:ascii="Times New Roman" w:hAnsi="Times New Roman" w:cs="Times New Roman"/>
          <w:color w:val="000000"/>
          <w:sz w:val="24"/>
          <w:szCs w:val="24"/>
        </w:rPr>
      </w:pPr>
      <w:r w:rsidRPr="00BD5CE4">
        <w:rPr>
          <w:rFonts w:ascii="Times New Roman" w:hAnsi="Times New Roman" w:cs="Times New Roman"/>
          <w:b/>
          <w:color w:val="000000"/>
          <w:sz w:val="24"/>
          <w:szCs w:val="24"/>
        </w:rPr>
        <w:t xml:space="preserve">Extraction  of protease inhibitor :  </w:t>
      </w:r>
    </w:p>
    <w:p w:rsidR="00E1200A" w:rsidRPr="00BD5CE4" w:rsidRDefault="00E1200A" w:rsidP="00E1200A">
      <w:pPr>
        <w:autoSpaceDE w:val="0"/>
        <w:autoSpaceDN w:val="0"/>
        <w:adjustRightInd w:val="0"/>
        <w:spacing w:after="0" w:line="240" w:lineRule="auto"/>
        <w:jc w:val="both"/>
        <w:rPr>
          <w:rFonts w:ascii="Times New Roman" w:hAnsi="Times New Roman" w:cs="Times New Roman"/>
          <w:color w:val="000000"/>
          <w:sz w:val="24"/>
          <w:szCs w:val="24"/>
        </w:rPr>
      </w:pPr>
      <w:r w:rsidRPr="00BD5CE4">
        <w:rPr>
          <w:rFonts w:ascii="Times New Roman" w:hAnsi="Times New Roman" w:cs="Times New Roman"/>
          <w:color w:val="000000"/>
          <w:sz w:val="24"/>
          <w:szCs w:val="24"/>
        </w:rPr>
        <w:t xml:space="preserve">Twenty five(25g) of Fresh leave,latex, root and stem bark of  </w:t>
      </w:r>
      <w:r w:rsidRPr="00BD5CE4">
        <w:rPr>
          <w:rFonts w:ascii="Times New Roman" w:hAnsi="Times New Roman" w:cs="Times New Roman"/>
          <w:i/>
          <w:sz w:val="24"/>
          <w:szCs w:val="24"/>
        </w:rPr>
        <w:t>Calotropis Procera</w:t>
      </w:r>
      <w:r w:rsidRPr="00BD5CE4">
        <w:rPr>
          <w:rFonts w:ascii="Times New Roman" w:hAnsi="Times New Roman" w:cs="Times New Roman"/>
          <w:sz w:val="24"/>
          <w:szCs w:val="24"/>
        </w:rPr>
        <w:t xml:space="preserve"> were </w:t>
      </w:r>
      <w:r w:rsidRPr="00BD5CE4">
        <w:rPr>
          <w:rFonts w:ascii="Times New Roman" w:hAnsi="Times New Roman" w:cs="Times New Roman"/>
          <w:color w:val="000000"/>
          <w:sz w:val="24"/>
          <w:szCs w:val="24"/>
        </w:rPr>
        <w:t>blended with 100 mL each of sodium  chloride 15% (w/v) , sodium hydroxide 0.2% (w/v), hydrochloric acid 0.05M</w:t>
      </w:r>
      <w:r w:rsidRPr="00BD5CE4">
        <w:rPr>
          <w:rFonts w:ascii="Times New Roman" w:hAnsi="Times New Roman" w:cs="Times New Roman"/>
          <w:sz w:val="24"/>
          <w:szCs w:val="24"/>
        </w:rPr>
        <w:t xml:space="preserve">, </w:t>
      </w:r>
      <w:r w:rsidRPr="00BD5CE4">
        <w:rPr>
          <w:rFonts w:ascii="Times New Roman" w:hAnsi="Times New Roman" w:cs="Times New Roman"/>
          <w:color w:val="000000"/>
          <w:sz w:val="24"/>
          <w:szCs w:val="24"/>
        </w:rPr>
        <w:t>phosphate buffer 0.1 M (pH 7) and distilled water as described by  (</w:t>
      </w:r>
      <w:r w:rsidRPr="00BD5CE4">
        <w:rPr>
          <w:rFonts w:ascii="Times New Roman" w:hAnsi="Times New Roman" w:cs="Times New Roman"/>
          <w:sz w:val="24"/>
          <w:szCs w:val="24"/>
        </w:rPr>
        <w:t>Wu and Whitaker,</w:t>
      </w:r>
      <w:r w:rsidRPr="00BD5CE4">
        <w:rPr>
          <w:rFonts w:ascii="Times New Roman" w:hAnsi="Times New Roman" w:cs="Times New Roman"/>
          <w:color w:val="000000"/>
          <w:sz w:val="24"/>
          <w:szCs w:val="24"/>
        </w:rPr>
        <w:t>1990). The clear supernatant obtained  after homogenisation and centrifugation(10,000 rpm, 15 min, 4</w:t>
      </w:r>
      <w:r w:rsidRPr="00BD5CE4">
        <w:rPr>
          <w:rFonts w:ascii="Times New Roman" w:hAnsi="Times New Roman" w:cs="Times New Roman"/>
          <w:color w:val="000000"/>
          <w:sz w:val="24"/>
          <w:szCs w:val="24"/>
          <w:vertAlign w:val="superscript"/>
        </w:rPr>
        <w:t>0</w:t>
      </w:r>
      <w:r w:rsidRPr="00BD5CE4">
        <w:rPr>
          <w:rFonts w:ascii="Times New Roman" w:hAnsi="Times New Roman" w:cs="Times New Roman"/>
          <w:color w:val="000000"/>
          <w:sz w:val="24"/>
          <w:szCs w:val="24"/>
        </w:rPr>
        <w:t xml:space="preserve">C) was assayed for protease inhibitor activity and protein content. </w:t>
      </w:r>
    </w:p>
    <w:p w:rsidR="00E1200A" w:rsidRPr="00BD5CE4" w:rsidRDefault="00E1200A" w:rsidP="00E1200A">
      <w:pPr>
        <w:autoSpaceDE w:val="0"/>
        <w:autoSpaceDN w:val="0"/>
        <w:adjustRightInd w:val="0"/>
        <w:spacing w:after="0" w:line="240" w:lineRule="auto"/>
        <w:jc w:val="both"/>
        <w:rPr>
          <w:rFonts w:ascii="Times New Roman" w:hAnsi="Times New Roman" w:cs="Times New Roman"/>
          <w:sz w:val="24"/>
          <w:szCs w:val="24"/>
        </w:rPr>
      </w:pPr>
      <w:r w:rsidRPr="00BD5CE4">
        <w:rPr>
          <w:rFonts w:ascii="Times New Roman" w:hAnsi="Times New Roman" w:cs="Times New Roman"/>
          <w:b/>
          <w:color w:val="000000"/>
          <w:sz w:val="24"/>
          <w:szCs w:val="24"/>
        </w:rPr>
        <w:t xml:space="preserve">Acetone precipitation:   </w:t>
      </w:r>
      <w:r w:rsidRPr="00BD5CE4">
        <w:rPr>
          <w:rFonts w:ascii="Times New Roman" w:hAnsi="Times New Roman" w:cs="Times New Roman"/>
          <w:sz w:val="24"/>
          <w:szCs w:val="24"/>
        </w:rPr>
        <w:t xml:space="preserve"> </w:t>
      </w:r>
    </w:p>
    <w:p w:rsidR="00E1200A" w:rsidRPr="00BD5CE4" w:rsidRDefault="00E1200A" w:rsidP="00E1200A">
      <w:pPr>
        <w:autoSpaceDE w:val="0"/>
        <w:autoSpaceDN w:val="0"/>
        <w:adjustRightInd w:val="0"/>
        <w:spacing w:after="0" w:line="240" w:lineRule="auto"/>
        <w:jc w:val="both"/>
        <w:rPr>
          <w:rFonts w:ascii="Times New Roman" w:hAnsi="Times New Roman" w:cs="Times New Roman"/>
          <w:sz w:val="24"/>
          <w:szCs w:val="24"/>
        </w:rPr>
      </w:pPr>
      <w:r w:rsidRPr="00BD5CE4">
        <w:rPr>
          <w:rFonts w:ascii="Times New Roman" w:hAnsi="Times New Roman" w:cs="Times New Roman"/>
          <w:sz w:val="24"/>
          <w:szCs w:val="24"/>
        </w:rPr>
        <w:t>Four  volumes of cold acetone was  added with stirring to crude extract. After 20 min stirring, the precipitate was collected by suction filtration, washed with cold acetone. The precipitate was air dried and stored at 4°C under desiccation.  Acetone powder was suspended in  50mΜ phosphate buffer, pH 7.6. This was designated as the crude acetone   extract.( Rao,</w:t>
      </w:r>
      <w:r w:rsidRPr="00BD5CE4">
        <w:rPr>
          <w:rFonts w:ascii="Times New Roman" w:hAnsi="Times New Roman" w:cs="Times New Roman"/>
          <w:i/>
          <w:sz w:val="24"/>
          <w:szCs w:val="24"/>
        </w:rPr>
        <w:t xml:space="preserve"> et al,</w:t>
      </w:r>
      <w:r w:rsidRPr="00BD5CE4">
        <w:rPr>
          <w:rFonts w:ascii="Times New Roman" w:hAnsi="Times New Roman" w:cs="Times New Roman"/>
          <w:sz w:val="24"/>
          <w:szCs w:val="24"/>
        </w:rPr>
        <w:t>1983)</w:t>
      </w:r>
    </w:p>
    <w:p w:rsidR="00E1200A" w:rsidRPr="00BD5CE4" w:rsidRDefault="00E1200A" w:rsidP="00E1200A">
      <w:pPr>
        <w:autoSpaceDE w:val="0"/>
        <w:autoSpaceDN w:val="0"/>
        <w:adjustRightInd w:val="0"/>
        <w:spacing w:after="0" w:line="240" w:lineRule="auto"/>
        <w:jc w:val="both"/>
        <w:rPr>
          <w:rFonts w:ascii="Times New Roman" w:hAnsi="Times New Roman" w:cs="Times New Roman"/>
          <w:b/>
          <w:color w:val="000000"/>
          <w:sz w:val="24"/>
          <w:szCs w:val="24"/>
        </w:rPr>
      </w:pPr>
      <w:r w:rsidRPr="00BD5CE4">
        <w:rPr>
          <w:rFonts w:ascii="Times New Roman" w:hAnsi="Times New Roman" w:cs="Times New Roman"/>
          <w:b/>
          <w:color w:val="000000"/>
          <w:sz w:val="24"/>
          <w:szCs w:val="24"/>
        </w:rPr>
        <w:t>Protease inhibitor assay:</w:t>
      </w:r>
    </w:p>
    <w:p w:rsidR="00E1200A" w:rsidRPr="00BD5CE4" w:rsidRDefault="00E1200A" w:rsidP="00E1200A">
      <w:pPr>
        <w:spacing w:line="240" w:lineRule="auto"/>
        <w:jc w:val="both"/>
        <w:rPr>
          <w:rFonts w:ascii="Times New Roman" w:hAnsi="Times New Roman" w:cs="Times New Roman"/>
          <w:color w:val="000000"/>
          <w:sz w:val="24"/>
          <w:szCs w:val="24"/>
        </w:rPr>
      </w:pPr>
      <w:r w:rsidRPr="00BD5CE4">
        <w:rPr>
          <w:rFonts w:ascii="Times New Roman" w:hAnsi="Times New Roman" w:cs="Times New Roman"/>
          <w:color w:val="000000"/>
          <w:sz w:val="24"/>
          <w:szCs w:val="24"/>
        </w:rPr>
        <w:t xml:space="preserve"> Protease inhibitor activity was  assayed according to the method of </w:t>
      </w:r>
      <w:r w:rsidRPr="00BD5CE4">
        <w:rPr>
          <w:rFonts w:ascii="Times New Roman" w:hAnsi="Times New Roman" w:cs="Times New Roman"/>
          <w:sz w:val="24"/>
          <w:szCs w:val="24"/>
        </w:rPr>
        <w:t xml:space="preserve">(Wannapa,2006). </w:t>
      </w:r>
      <w:r w:rsidRPr="00BD5CE4">
        <w:rPr>
          <w:rFonts w:ascii="Times New Roman" w:eastAsia="GulliverRM" w:hAnsi="Times New Roman" w:cs="Times New Roman"/>
          <w:sz w:val="24"/>
          <w:szCs w:val="24"/>
        </w:rPr>
        <w:t>An a</w:t>
      </w:r>
      <w:r w:rsidRPr="00BD5CE4">
        <w:rPr>
          <w:rFonts w:ascii="Times New Roman" w:hAnsi="Times New Roman" w:cs="Times New Roman"/>
          <w:sz w:val="24"/>
          <w:szCs w:val="24"/>
        </w:rPr>
        <w:t xml:space="preserve">liquots 0f  </w:t>
      </w:r>
      <w:r w:rsidRPr="00BD5CE4">
        <w:rPr>
          <w:rFonts w:ascii="Times New Roman" w:eastAsia="GulliverRM" w:hAnsi="Times New Roman" w:cs="Times New Roman"/>
          <w:sz w:val="24"/>
          <w:szCs w:val="24"/>
        </w:rPr>
        <w:t>500µl</w:t>
      </w:r>
      <w:r w:rsidRPr="00BD5CE4">
        <w:rPr>
          <w:rFonts w:ascii="Times New Roman" w:hAnsi="Times New Roman" w:cs="Times New Roman"/>
          <w:sz w:val="24"/>
          <w:szCs w:val="24"/>
        </w:rPr>
        <w:t xml:space="preserve"> from extract was  pre-incubated for 10 min at 37 </w:t>
      </w:r>
      <w:r w:rsidRPr="00BD5CE4">
        <w:rPr>
          <w:rFonts w:ascii="Times New Roman" w:hAnsi="Times New Roman" w:cs="Times New Roman"/>
          <w:sz w:val="24"/>
          <w:szCs w:val="24"/>
          <w:vertAlign w:val="superscript"/>
        </w:rPr>
        <w:t>0</w:t>
      </w:r>
      <w:r w:rsidRPr="00BD5CE4">
        <w:rPr>
          <w:rFonts w:ascii="Times New Roman" w:hAnsi="Times New Roman" w:cs="Times New Roman"/>
          <w:sz w:val="24"/>
          <w:szCs w:val="24"/>
        </w:rPr>
        <w:t>c with 500</w:t>
      </w:r>
      <w:r w:rsidRPr="00BD5CE4">
        <w:rPr>
          <w:rFonts w:ascii="Times New Roman" w:eastAsia="GulliverRM" w:hAnsi="Times New Roman" w:cs="Times New Roman"/>
          <w:sz w:val="24"/>
          <w:szCs w:val="24"/>
        </w:rPr>
        <w:t xml:space="preserve"> µl</w:t>
      </w:r>
      <w:r w:rsidRPr="00BD5CE4">
        <w:rPr>
          <w:rFonts w:ascii="Times New Roman" w:hAnsi="Times New Roman" w:cs="Times New Roman"/>
          <w:sz w:val="24"/>
          <w:szCs w:val="24"/>
        </w:rPr>
        <w:t xml:space="preserve"> papain   prepare in </w:t>
      </w:r>
      <w:r w:rsidRPr="00BD5CE4">
        <w:rPr>
          <w:rFonts w:ascii="Times New Roman" w:hAnsi="Times New Roman" w:cs="Times New Roman"/>
          <w:color w:val="000000"/>
          <w:sz w:val="24"/>
          <w:szCs w:val="24"/>
        </w:rPr>
        <w:t xml:space="preserve"> 100mM phosphate buffer, pH 6.8, with 0.3mM EDTA and 2 mM cysteine-HCl.</w:t>
      </w:r>
      <w:r w:rsidRPr="00BD5CE4">
        <w:rPr>
          <w:rFonts w:ascii="Times New Roman" w:hAnsi="Times New Roman" w:cs="Times New Roman"/>
          <w:sz w:val="24"/>
          <w:szCs w:val="24"/>
        </w:rPr>
        <w:t xml:space="preserve">The assays was initiated by the addition of 1ml substrate solution (0.5% (w/v) azocasein),incubated </w:t>
      </w:r>
      <w:r w:rsidRPr="00BD5CE4">
        <w:rPr>
          <w:rFonts w:ascii="Times New Roman" w:hAnsi="Times New Roman" w:cs="Times New Roman"/>
          <w:sz w:val="24"/>
          <w:szCs w:val="24"/>
        </w:rPr>
        <w:lastRenderedPageBreak/>
        <w:t xml:space="preserve">for 20 min at 37 </w:t>
      </w:r>
      <w:r w:rsidRPr="00BD5CE4">
        <w:rPr>
          <w:rFonts w:ascii="Times New Roman" w:hAnsi="Times New Roman" w:cs="Times New Roman"/>
          <w:sz w:val="24"/>
          <w:szCs w:val="24"/>
          <w:vertAlign w:val="superscript"/>
        </w:rPr>
        <w:t>0</w:t>
      </w:r>
      <w:r w:rsidRPr="00BD5CE4">
        <w:rPr>
          <w:rFonts w:ascii="Times New Roman" w:hAnsi="Times New Roman" w:cs="Times New Roman"/>
          <w:sz w:val="24"/>
          <w:szCs w:val="24"/>
        </w:rPr>
        <w:t>C, and 2 ml of trichloroacetic acid (TCA, 20% w/v)  to terminate the reaction. After 20 min at room temperature, the mixture was  centrifuged  at 10,000g for 10 min and the absorbance of the supernatant  measured at 410 nm.</w:t>
      </w:r>
      <w:r w:rsidRPr="00BD5CE4">
        <w:rPr>
          <w:rFonts w:ascii="Times New Roman" w:eastAsia="GulliverRM" w:hAnsi="Times New Roman" w:cs="Times New Roman"/>
          <w:color w:val="000000"/>
          <w:sz w:val="24"/>
          <w:szCs w:val="24"/>
        </w:rPr>
        <w:t xml:space="preserve"> BApNA assays was  performed by adding 290µL of 50mM Tris–HCl (pH 7.6) and 200µL of 1.25mM BApNA solution to the  previoustly peincubated cysteine protease enzyme (papain) and crude inhibitor  extract for 10min. at 25</w:t>
      </w:r>
      <w:r w:rsidRPr="00BD5CE4">
        <w:rPr>
          <w:rFonts w:ascii="Times New Roman" w:eastAsia="GulliverRM" w:hAnsi="Times New Roman" w:cs="Times New Roman"/>
          <w:color w:val="000000"/>
          <w:sz w:val="24"/>
          <w:szCs w:val="24"/>
          <w:vertAlign w:val="superscript"/>
        </w:rPr>
        <w:t xml:space="preserve">0 </w:t>
      </w:r>
      <w:r w:rsidRPr="00BD5CE4">
        <w:rPr>
          <w:rFonts w:ascii="Times New Roman" w:eastAsia="GulliverRM" w:hAnsi="Times New Roman" w:cs="Times New Roman"/>
          <w:color w:val="000000"/>
          <w:sz w:val="24"/>
          <w:szCs w:val="24"/>
        </w:rPr>
        <w:t>c. After 30 min at 37</w:t>
      </w:r>
      <w:r w:rsidRPr="00BD5CE4">
        <w:rPr>
          <w:rFonts w:ascii="Times New Roman" w:eastAsia="GulliverRM" w:hAnsi="Times New Roman" w:cs="Times New Roman"/>
          <w:color w:val="000000"/>
          <w:sz w:val="24"/>
          <w:szCs w:val="24"/>
          <w:vertAlign w:val="superscript"/>
        </w:rPr>
        <w:t>0</w:t>
      </w:r>
      <w:r w:rsidRPr="00BD5CE4">
        <w:rPr>
          <w:rFonts w:ascii="Times New Roman" w:eastAsia="GulliverRM" w:hAnsi="Times New Roman" w:cs="Times New Roman"/>
          <w:color w:val="000000"/>
          <w:sz w:val="24"/>
          <w:szCs w:val="24"/>
        </w:rPr>
        <w:t>c , the reaction was stopped by adding 150µL of acetic acid (30%). The resulting color was measured by absorbance at 405nm.</w:t>
      </w:r>
      <w:r w:rsidRPr="00BD5CE4">
        <w:rPr>
          <w:rFonts w:ascii="Times New Roman" w:hAnsi="Times New Roman" w:cs="Times New Roman"/>
          <w:sz w:val="24"/>
          <w:szCs w:val="24"/>
        </w:rPr>
        <w:t xml:space="preserve">percent inhibitory activity calculated compare to control. </w:t>
      </w:r>
    </w:p>
    <w:p w:rsidR="00E1200A" w:rsidRPr="00BD5CE4" w:rsidRDefault="00E1200A" w:rsidP="00E1200A">
      <w:pPr>
        <w:autoSpaceDE w:val="0"/>
        <w:autoSpaceDN w:val="0"/>
        <w:adjustRightInd w:val="0"/>
        <w:spacing w:after="0" w:line="240" w:lineRule="auto"/>
        <w:jc w:val="both"/>
        <w:rPr>
          <w:rFonts w:ascii="Times New Roman" w:hAnsi="Times New Roman" w:cs="Times New Roman"/>
          <w:sz w:val="24"/>
          <w:szCs w:val="24"/>
        </w:rPr>
      </w:pPr>
      <w:r w:rsidRPr="00BD5CE4">
        <w:rPr>
          <w:rFonts w:ascii="Times New Roman" w:hAnsi="Times New Roman" w:cs="Times New Roman"/>
          <w:b/>
          <w:sz w:val="24"/>
          <w:szCs w:val="24"/>
        </w:rPr>
        <w:t>Protein estimation.</w:t>
      </w:r>
      <w:r w:rsidRPr="00BD5CE4">
        <w:rPr>
          <w:rFonts w:ascii="Times New Roman" w:hAnsi="Times New Roman" w:cs="Times New Roman"/>
          <w:sz w:val="24"/>
          <w:szCs w:val="24"/>
        </w:rPr>
        <w:t xml:space="preserve">    </w:t>
      </w:r>
    </w:p>
    <w:p w:rsidR="00E1200A" w:rsidRPr="00BD5CE4" w:rsidRDefault="00E1200A" w:rsidP="00E1200A">
      <w:pPr>
        <w:autoSpaceDE w:val="0"/>
        <w:autoSpaceDN w:val="0"/>
        <w:adjustRightInd w:val="0"/>
        <w:spacing w:after="0" w:line="240" w:lineRule="auto"/>
        <w:jc w:val="both"/>
        <w:rPr>
          <w:rFonts w:ascii="Times New Roman" w:hAnsi="Times New Roman" w:cs="Times New Roman"/>
          <w:sz w:val="24"/>
          <w:szCs w:val="24"/>
        </w:rPr>
      </w:pPr>
      <w:r w:rsidRPr="00BD5CE4">
        <w:rPr>
          <w:rFonts w:ascii="Times New Roman" w:hAnsi="Times New Roman" w:cs="Times New Roman"/>
          <w:sz w:val="24"/>
          <w:szCs w:val="24"/>
        </w:rPr>
        <w:t xml:space="preserve"> Protein content was determined according to the method of (Bradford, 1976) </w:t>
      </w:r>
    </w:p>
    <w:p w:rsidR="00E1200A" w:rsidRPr="00BD5CE4" w:rsidRDefault="00E1200A" w:rsidP="00E1200A">
      <w:pPr>
        <w:autoSpaceDE w:val="0"/>
        <w:autoSpaceDN w:val="0"/>
        <w:adjustRightInd w:val="0"/>
        <w:spacing w:after="0" w:line="240" w:lineRule="auto"/>
        <w:jc w:val="both"/>
        <w:rPr>
          <w:rFonts w:ascii="Times New Roman" w:hAnsi="Times New Roman" w:cs="Times New Roman"/>
          <w:b/>
          <w:bCs/>
          <w:sz w:val="24"/>
          <w:szCs w:val="24"/>
        </w:rPr>
      </w:pPr>
      <w:r w:rsidRPr="00BD5CE4">
        <w:rPr>
          <w:rFonts w:ascii="Times New Roman" w:hAnsi="Times New Roman" w:cs="Times New Roman"/>
          <w:b/>
          <w:sz w:val="24"/>
          <w:szCs w:val="24"/>
          <w:lang w:val="en-GB"/>
        </w:rPr>
        <w:t>LD</w:t>
      </w:r>
      <w:r w:rsidRPr="00BD5CE4">
        <w:rPr>
          <w:rFonts w:ascii="Times New Roman" w:hAnsi="Times New Roman" w:cs="Times New Roman"/>
          <w:b/>
          <w:sz w:val="24"/>
          <w:szCs w:val="24"/>
          <w:vertAlign w:val="subscript"/>
          <w:lang w:val="en-GB"/>
        </w:rPr>
        <w:t xml:space="preserve">50 </w:t>
      </w:r>
      <w:r w:rsidRPr="00BD5CE4">
        <w:rPr>
          <w:rFonts w:ascii="Times New Roman" w:hAnsi="Times New Roman" w:cs="Times New Roman"/>
          <w:b/>
          <w:bCs/>
          <w:sz w:val="24"/>
          <w:szCs w:val="24"/>
        </w:rPr>
        <w:t xml:space="preserve"> Determination and subchronic tocxicity.</w:t>
      </w:r>
    </w:p>
    <w:p w:rsidR="00E1200A" w:rsidRPr="00BD5CE4" w:rsidRDefault="00E1200A" w:rsidP="00E1200A">
      <w:pPr>
        <w:autoSpaceDE w:val="0"/>
        <w:autoSpaceDN w:val="0"/>
        <w:adjustRightInd w:val="0"/>
        <w:spacing w:after="0" w:line="240" w:lineRule="auto"/>
        <w:jc w:val="both"/>
        <w:rPr>
          <w:rFonts w:ascii="Times New Roman" w:hAnsi="Times New Roman" w:cs="Times New Roman"/>
          <w:b/>
          <w:bCs/>
          <w:sz w:val="24"/>
          <w:szCs w:val="24"/>
        </w:rPr>
      </w:pPr>
      <w:r w:rsidRPr="00BD5CE4">
        <w:rPr>
          <w:rFonts w:ascii="Times New Roman" w:hAnsi="Times New Roman" w:cs="Times New Roman"/>
          <w:sz w:val="24"/>
          <w:szCs w:val="24"/>
          <w:lang w:val="en-GB"/>
        </w:rPr>
        <w:t>LD</w:t>
      </w:r>
      <w:r w:rsidRPr="00BD5CE4">
        <w:rPr>
          <w:rFonts w:ascii="Times New Roman" w:hAnsi="Times New Roman" w:cs="Times New Roman"/>
          <w:sz w:val="24"/>
          <w:szCs w:val="24"/>
          <w:vertAlign w:val="subscript"/>
          <w:lang w:val="en-GB"/>
        </w:rPr>
        <w:t>50</w:t>
      </w:r>
      <w:r w:rsidRPr="00BD5CE4">
        <w:rPr>
          <w:rFonts w:ascii="Times New Roman" w:hAnsi="Times New Roman" w:cs="Times New Roman"/>
          <w:sz w:val="24"/>
          <w:szCs w:val="24"/>
          <w:lang w:val="en-GB"/>
        </w:rPr>
        <w:t xml:space="preserve"> was obtained as describe by Lorke,(1983).</w:t>
      </w:r>
      <w:r w:rsidRPr="00BD5CE4">
        <w:rPr>
          <w:rFonts w:ascii="Times New Roman" w:hAnsi="Times New Roman" w:cs="Times New Roman"/>
          <w:sz w:val="24"/>
          <w:szCs w:val="24"/>
        </w:rPr>
        <w:t xml:space="preserve">SubChronic toxicity was determined according to method of  Aniagu, </w:t>
      </w:r>
      <w:r w:rsidRPr="00BD5CE4">
        <w:rPr>
          <w:rFonts w:ascii="Times New Roman" w:hAnsi="Times New Roman" w:cs="Times New Roman"/>
          <w:i/>
          <w:iCs/>
          <w:sz w:val="24"/>
          <w:szCs w:val="24"/>
        </w:rPr>
        <w:t xml:space="preserve">et .al., </w:t>
      </w:r>
      <w:r w:rsidRPr="00BD5CE4">
        <w:rPr>
          <w:rFonts w:ascii="Times New Roman" w:hAnsi="Times New Roman" w:cs="Times New Roman"/>
          <w:sz w:val="24"/>
          <w:szCs w:val="24"/>
        </w:rPr>
        <w:t xml:space="preserve">(2004).Mice (20) was   divided into four groups of five mice each,the first group will serve as control, given only </w:t>
      </w:r>
      <w:r w:rsidRPr="00BD5CE4">
        <w:rPr>
          <w:rFonts w:ascii="Times New Roman" w:hAnsi="Times New Roman" w:cs="Times New Roman"/>
          <w:sz w:val="24"/>
          <w:szCs w:val="24"/>
          <w:lang w:val="en-GB"/>
        </w:rPr>
        <w:t>20ml/kg/bw phosphate buffer</w:t>
      </w:r>
      <w:r w:rsidRPr="00BD5CE4">
        <w:rPr>
          <w:rFonts w:ascii="Times New Roman" w:hAnsi="Times New Roman" w:cs="Times New Roman"/>
          <w:sz w:val="24"/>
          <w:szCs w:val="24"/>
        </w:rPr>
        <w:t xml:space="preserve"> saline(PBS), while the remaining 3 groups,will  received 20mg/kg/bw,30 mg/kg/bw and 50 mg/kg/bw  respectively of crude extracts intraperitonealy (i.p) for 21 days.</w:t>
      </w:r>
      <w:r w:rsidRPr="00BD5CE4">
        <w:rPr>
          <w:rFonts w:ascii="Times New Roman" w:hAnsi="Times New Roman" w:cs="Times New Roman"/>
          <w:sz w:val="24"/>
          <w:szCs w:val="24"/>
          <w:lang w:val="en-GB"/>
        </w:rPr>
        <w:t>Weights of mice,PCV, serum (total proteins, triglycerides,Glucose, SGPT and SGOT,Alkaline phosphatase) was determined using kits(randox).</w:t>
      </w:r>
    </w:p>
    <w:p w:rsidR="00E1200A" w:rsidRPr="00BD5CE4" w:rsidRDefault="00E1200A" w:rsidP="00E1200A">
      <w:pPr>
        <w:autoSpaceDE w:val="0"/>
        <w:autoSpaceDN w:val="0"/>
        <w:adjustRightInd w:val="0"/>
        <w:spacing w:after="0" w:line="240" w:lineRule="auto"/>
        <w:jc w:val="both"/>
        <w:rPr>
          <w:rFonts w:ascii="Times New Roman" w:hAnsi="Times New Roman" w:cs="Times New Roman"/>
          <w:b/>
          <w:sz w:val="24"/>
          <w:szCs w:val="24"/>
        </w:rPr>
      </w:pPr>
      <w:r w:rsidRPr="00BD5CE4">
        <w:rPr>
          <w:rFonts w:ascii="Times New Roman" w:hAnsi="Times New Roman" w:cs="Times New Roman"/>
          <w:b/>
          <w:sz w:val="24"/>
          <w:szCs w:val="24"/>
        </w:rPr>
        <w:t>Inoculation of Mice and Parasite count:</w:t>
      </w:r>
    </w:p>
    <w:p w:rsidR="00E1200A" w:rsidRPr="00BD5CE4" w:rsidRDefault="00E1200A" w:rsidP="00E1200A">
      <w:pPr>
        <w:autoSpaceDE w:val="0"/>
        <w:autoSpaceDN w:val="0"/>
        <w:adjustRightInd w:val="0"/>
        <w:spacing w:after="0" w:line="240" w:lineRule="auto"/>
        <w:jc w:val="both"/>
        <w:rPr>
          <w:rFonts w:ascii="Times New Roman" w:hAnsi="Times New Roman" w:cs="Times New Roman"/>
          <w:sz w:val="24"/>
          <w:szCs w:val="24"/>
        </w:rPr>
      </w:pPr>
      <w:r w:rsidRPr="00BD5CE4">
        <w:rPr>
          <w:rFonts w:ascii="Times New Roman" w:hAnsi="Times New Roman" w:cs="Times New Roman"/>
          <w:sz w:val="24"/>
          <w:szCs w:val="24"/>
        </w:rPr>
        <w:t xml:space="preserve">A donor mouse with rising parasitemia of 20 % was sacrificed and blood was drawn in a Heparinised syringe and diluted in phosphate buffered saline.Infection was initiated by </w:t>
      </w:r>
    </w:p>
    <w:p w:rsidR="00E1200A" w:rsidRPr="00BD5CE4" w:rsidRDefault="00E1200A" w:rsidP="00E1200A">
      <w:pPr>
        <w:autoSpaceDE w:val="0"/>
        <w:autoSpaceDN w:val="0"/>
        <w:adjustRightInd w:val="0"/>
        <w:spacing w:after="0" w:line="240" w:lineRule="auto"/>
        <w:jc w:val="both"/>
        <w:rPr>
          <w:rFonts w:ascii="Times New Roman" w:hAnsi="Times New Roman" w:cs="Times New Roman"/>
          <w:sz w:val="24"/>
          <w:szCs w:val="24"/>
        </w:rPr>
      </w:pPr>
      <w:r w:rsidRPr="00BD5CE4">
        <w:rPr>
          <w:rFonts w:ascii="Times New Roman" w:hAnsi="Times New Roman" w:cs="Times New Roman"/>
          <w:sz w:val="24"/>
          <w:szCs w:val="24"/>
        </w:rPr>
        <w:t xml:space="preserve">0.2ml needle passage of the parasite preparation from a donor mouse to healthy mice via </w:t>
      </w:r>
    </w:p>
    <w:p w:rsidR="00E1200A" w:rsidRPr="00BD5CE4" w:rsidRDefault="00E1200A" w:rsidP="00E1200A">
      <w:pPr>
        <w:autoSpaceDE w:val="0"/>
        <w:autoSpaceDN w:val="0"/>
        <w:adjustRightInd w:val="0"/>
        <w:spacing w:after="0" w:line="240" w:lineRule="auto"/>
        <w:jc w:val="both"/>
        <w:rPr>
          <w:rFonts w:ascii="Times New Roman" w:hAnsi="Times New Roman" w:cs="Times New Roman"/>
          <w:sz w:val="24"/>
          <w:szCs w:val="24"/>
        </w:rPr>
      </w:pPr>
      <w:r w:rsidRPr="00BD5CE4">
        <w:rPr>
          <w:rFonts w:ascii="Times New Roman" w:hAnsi="Times New Roman" w:cs="Times New Roman"/>
          <w:sz w:val="24"/>
          <w:szCs w:val="24"/>
        </w:rPr>
        <w:t>intraperitoneal route.Parasitemia was monitored by microscopic Giemsa-stained thin blood smears. The number of parasitized erythrocytes in about 10-50 fields was counted twice and the average was  computed to give the parasitemia of each mouse.</w:t>
      </w:r>
    </w:p>
    <w:p w:rsidR="00E1200A" w:rsidRPr="00BD5CE4" w:rsidRDefault="00E1200A" w:rsidP="00E1200A">
      <w:pPr>
        <w:autoSpaceDE w:val="0"/>
        <w:autoSpaceDN w:val="0"/>
        <w:adjustRightInd w:val="0"/>
        <w:spacing w:after="0" w:line="240" w:lineRule="auto"/>
        <w:jc w:val="both"/>
        <w:rPr>
          <w:rFonts w:ascii="Times New Roman" w:hAnsi="Times New Roman" w:cs="Times New Roman"/>
          <w:sz w:val="24"/>
          <w:szCs w:val="24"/>
        </w:rPr>
      </w:pPr>
      <w:r w:rsidRPr="00BD5CE4">
        <w:rPr>
          <w:rFonts w:ascii="Times New Roman" w:hAnsi="Times New Roman" w:cs="Times New Roman"/>
          <w:sz w:val="24"/>
          <w:szCs w:val="24"/>
        </w:rPr>
        <w:t>Percent parasitemia  was calculated as:</w:t>
      </w:r>
    </w:p>
    <w:p w:rsidR="00E1200A" w:rsidRPr="00BD5CE4" w:rsidRDefault="00E1200A" w:rsidP="00E1200A">
      <w:pPr>
        <w:autoSpaceDE w:val="0"/>
        <w:autoSpaceDN w:val="0"/>
        <w:adjustRightInd w:val="0"/>
        <w:spacing w:after="0" w:line="240" w:lineRule="auto"/>
        <w:jc w:val="both"/>
        <w:rPr>
          <w:rFonts w:ascii="Times New Roman" w:hAnsi="Times New Roman" w:cs="Times New Roman"/>
          <w:sz w:val="24"/>
          <w:szCs w:val="24"/>
        </w:rPr>
      </w:pPr>
      <w:r w:rsidRPr="00BD5CE4">
        <w:rPr>
          <w:rFonts w:ascii="Times New Roman" w:hAnsi="Times New Roman" w:cs="Times New Roman"/>
          <w:sz w:val="24"/>
          <w:szCs w:val="24"/>
        </w:rPr>
        <w:t xml:space="preserve">        % Parasitiemia =    </w:t>
      </w:r>
      <w:r w:rsidRPr="00BD5CE4">
        <w:rPr>
          <w:rFonts w:ascii="Times New Roman" w:hAnsi="Times New Roman" w:cs="Times New Roman"/>
          <w:sz w:val="24"/>
          <w:szCs w:val="24"/>
          <w:u w:val="single"/>
        </w:rPr>
        <w:t xml:space="preserve">Number of parasitized RBC   </w:t>
      </w:r>
      <w:r w:rsidRPr="00BD5CE4">
        <w:rPr>
          <w:rFonts w:ascii="Times New Roman" w:hAnsi="Times New Roman" w:cs="Times New Roman"/>
          <w:sz w:val="24"/>
          <w:szCs w:val="24"/>
        </w:rPr>
        <w:t xml:space="preserve">X 100 </w:t>
      </w:r>
    </w:p>
    <w:p w:rsidR="00E1200A" w:rsidRPr="00BD5CE4" w:rsidRDefault="00E1200A" w:rsidP="00E1200A">
      <w:pPr>
        <w:autoSpaceDE w:val="0"/>
        <w:autoSpaceDN w:val="0"/>
        <w:adjustRightInd w:val="0"/>
        <w:spacing w:after="0" w:line="240" w:lineRule="auto"/>
        <w:jc w:val="both"/>
        <w:rPr>
          <w:rFonts w:ascii="Times New Roman" w:hAnsi="Times New Roman" w:cs="Times New Roman"/>
          <w:sz w:val="24"/>
          <w:szCs w:val="24"/>
        </w:rPr>
      </w:pPr>
      <w:r w:rsidRPr="00BD5CE4">
        <w:rPr>
          <w:rFonts w:ascii="Times New Roman" w:hAnsi="Times New Roman" w:cs="Times New Roman"/>
          <w:sz w:val="24"/>
          <w:szCs w:val="24"/>
        </w:rPr>
        <w:t xml:space="preserve">                                       Total number of RB</w:t>
      </w:r>
    </w:p>
    <w:p w:rsidR="00E1200A" w:rsidRPr="00BD5CE4" w:rsidRDefault="00E1200A" w:rsidP="00E1200A">
      <w:pPr>
        <w:autoSpaceDE w:val="0"/>
        <w:autoSpaceDN w:val="0"/>
        <w:adjustRightInd w:val="0"/>
        <w:spacing w:after="0" w:line="240" w:lineRule="auto"/>
        <w:jc w:val="both"/>
        <w:rPr>
          <w:rFonts w:ascii="Times New Roman" w:hAnsi="Times New Roman" w:cs="Times New Roman"/>
          <w:sz w:val="24"/>
          <w:szCs w:val="24"/>
        </w:rPr>
      </w:pPr>
      <w:r w:rsidRPr="00BD5CE4">
        <w:rPr>
          <w:rFonts w:ascii="Times New Roman" w:hAnsi="Times New Roman" w:cs="Times New Roman"/>
          <w:b/>
          <w:bCs/>
          <w:sz w:val="24"/>
          <w:szCs w:val="24"/>
          <w:lang w:val="en-GB"/>
        </w:rPr>
        <w:t>Preparation of parasite cysteine protease Extracts:</w:t>
      </w:r>
    </w:p>
    <w:p w:rsidR="00E1200A" w:rsidRPr="00BD5CE4" w:rsidRDefault="00E1200A" w:rsidP="00E1200A">
      <w:pPr>
        <w:autoSpaceDE w:val="0"/>
        <w:autoSpaceDN w:val="0"/>
        <w:adjustRightInd w:val="0"/>
        <w:spacing w:after="0" w:line="240" w:lineRule="auto"/>
        <w:jc w:val="both"/>
        <w:rPr>
          <w:rFonts w:ascii="Times New Roman" w:hAnsi="Times New Roman" w:cs="Times New Roman"/>
          <w:sz w:val="24"/>
          <w:szCs w:val="24"/>
        </w:rPr>
      </w:pPr>
      <w:r w:rsidRPr="00BD5CE4">
        <w:rPr>
          <w:rFonts w:ascii="Times New Roman" w:hAnsi="Times New Roman" w:cs="Times New Roman"/>
          <w:sz w:val="24"/>
          <w:szCs w:val="24"/>
          <w:lang w:val="en-GB"/>
        </w:rPr>
        <w:t xml:space="preserve"> Blood from infected mice at the peak of parasitemia will be incubated with 0.01% saponin in phosphate buffer saline (PBS) at 37</w:t>
      </w:r>
      <w:r w:rsidRPr="00BD5CE4">
        <w:rPr>
          <w:rFonts w:ascii="Times New Roman" w:hAnsi="Times New Roman" w:cs="Times New Roman"/>
          <w:sz w:val="24"/>
          <w:szCs w:val="24"/>
          <w:vertAlign w:val="superscript"/>
          <w:lang w:val="en-GB"/>
        </w:rPr>
        <w:t>0</w:t>
      </w:r>
      <w:r w:rsidRPr="00BD5CE4">
        <w:rPr>
          <w:rFonts w:ascii="Times New Roman" w:hAnsi="Times New Roman" w:cs="Times New Roman"/>
          <w:sz w:val="24"/>
          <w:szCs w:val="24"/>
          <w:lang w:val="en-GB"/>
        </w:rPr>
        <w:t xml:space="preserve">C for 10min to lyse RBC and this will be washed 3 times in ice cold PBS. The released parasite will be lyse  using the  protocol described by Amlabu </w:t>
      </w:r>
      <w:r w:rsidRPr="00BD5CE4">
        <w:rPr>
          <w:rFonts w:ascii="Times New Roman" w:hAnsi="Times New Roman" w:cs="Times New Roman"/>
          <w:i/>
          <w:iCs/>
          <w:sz w:val="24"/>
          <w:szCs w:val="24"/>
          <w:lang w:val="en-GB"/>
        </w:rPr>
        <w:t xml:space="preserve">et al. </w:t>
      </w:r>
      <w:r w:rsidRPr="00BD5CE4">
        <w:rPr>
          <w:rFonts w:ascii="Times New Roman" w:hAnsi="Times New Roman" w:cs="Times New Roman"/>
          <w:sz w:val="24"/>
          <w:szCs w:val="24"/>
          <w:lang w:val="en-GB"/>
        </w:rPr>
        <w:t>(2011)</w:t>
      </w:r>
    </w:p>
    <w:p w:rsidR="00E1200A" w:rsidRPr="00BD5CE4" w:rsidRDefault="00E1200A" w:rsidP="00E1200A">
      <w:pPr>
        <w:autoSpaceDE w:val="0"/>
        <w:autoSpaceDN w:val="0"/>
        <w:adjustRightInd w:val="0"/>
        <w:spacing w:after="0" w:line="240" w:lineRule="auto"/>
        <w:jc w:val="both"/>
        <w:rPr>
          <w:rFonts w:ascii="Times New Roman" w:hAnsi="Times New Roman" w:cs="Times New Roman"/>
          <w:sz w:val="24"/>
          <w:szCs w:val="24"/>
        </w:rPr>
      </w:pPr>
      <w:r w:rsidRPr="00BD5CE4">
        <w:rPr>
          <w:rFonts w:ascii="Times New Roman" w:hAnsi="Times New Roman" w:cs="Times New Roman"/>
          <w:sz w:val="24"/>
          <w:szCs w:val="24"/>
        </w:rPr>
        <w:t xml:space="preserve">     </w:t>
      </w:r>
    </w:p>
    <w:p w:rsidR="00E1200A" w:rsidRPr="00BD5CE4" w:rsidRDefault="00E1200A" w:rsidP="00E1200A">
      <w:pPr>
        <w:spacing w:line="240" w:lineRule="auto"/>
        <w:jc w:val="both"/>
        <w:rPr>
          <w:rFonts w:ascii="Times New Roman" w:hAnsi="Times New Roman" w:cs="Times New Roman"/>
          <w:b/>
          <w:sz w:val="24"/>
          <w:szCs w:val="24"/>
        </w:rPr>
      </w:pPr>
      <w:r w:rsidRPr="00BD5CE4">
        <w:rPr>
          <w:rFonts w:ascii="Times New Roman" w:hAnsi="Times New Roman" w:cs="Times New Roman"/>
          <w:b/>
          <w:sz w:val="24"/>
          <w:szCs w:val="24"/>
        </w:rPr>
        <w:t xml:space="preserve">  Antiplasmodial Screening of  extract:</w:t>
      </w:r>
    </w:p>
    <w:p w:rsidR="00E1200A" w:rsidRPr="00BD5CE4" w:rsidRDefault="00E1200A" w:rsidP="00E1200A">
      <w:pPr>
        <w:spacing w:line="240" w:lineRule="auto"/>
        <w:jc w:val="both"/>
        <w:rPr>
          <w:rFonts w:ascii="Times New Roman" w:hAnsi="Times New Roman" w:cs="Times New Roman"/>
          <w:sz w:val="24"/>
          <w:szCs w:val="24"/>
        </w:rPr>
      </w:pPr>
      <w:r w:rsidRPr="00BD5CE4">
        <w:rPr>
          <w:rFonts w:ascii="Times New Roman" w:hAnsi="Times New Roman" w:cs="Times New Roman"/>
          <w:sz w:val="24"/>
          <w:szCs w:val="24"/>
        </w:rPr>
        <w:t>The extract from latex of the plants  showing  highest specific  papain inhibition was use for in vivo 4-day suppressive test. Mice was  maintained and bred at the animal facility of the University. Thirty six  mice was group into five groups(1,2,3,4,and 5). They were infected  with  parasitized erythrocytes from a  donor mouse with 0.2ml of of diluted(10</w:t>
      </w:r>
      <w:r w:rsidRPr="00BD5CE4">
        <w:rPr>
          <w:rFonts w:ascii="Times New Roman" w:hAnsi="Times New Roman" w:cs="Times New Roman"/>
          <w:sz w:val="24"/>
          <w:szCs w:val="24"/>
          <w:vertAlign w:val="superscript"/>
        </w:rPr>
        <w:t>8</w:t>
      </w:r>
      <w:r w:rsidRPr="00BD5CE4">
        <w:rPr>
          <w:rFonts w:ascii="Times New Roman" w:hAnsi="Times New Roman" w:cs="Times New Roman"/>
          <w:sz w:val="24"/>
          <w:szCs w:val="24"/>
        </w:rPr>
        <w:t xml:space="preserve"> parasitized erythrocytes/ml) each intraperitoneally(i.p) Groups 1 and 2 serves as Negative(PBS)  and positive control(10mg/kg/b.w),while groups 3,4 and 5 were treated with 20mg/kg/b.w,30mg/kg/b.w and 50mg/kg/b.w.Treatment of mice commence 2hours after infection and repeated daily for 72 hours. </w:t>
      </w:r>
    </w:p>
    <w:p w:rsidR="00E1200A" w:rsidRPr="00BD5CE4" w:rsidRDefault="00E1200A" w:rsidP="00E1200A">
      <w:pPr>
        <w:autoSpaceDE w:val="0"/>
        <w:autoSpaceDN w:val="0"/>
        <w:adjustRightInd w:val="0"/>
        <w:spacing w:after="0" w:line="240" w:lineRule="auto"/>
        <w:jc w:val="both"/>
        <w:rPr>
          <w:rFonts w:ascii="Times New Roman" w:hAnsi="Times New Roman" w:cs="Times New Roman"/>
          <w:sz w:val="24"/>
          <w:szCs w:val="24"/>
        </w:rPr>
      </w:pPr>
      <w:r w:rsidRPr="00BD5CE4">
        <w:rPr>
          <w:rFonts w:ascii="Times New Roman" w:hAnsi="Times New Roman" w:cs="Times New Roman"/>
          <w:sz w:val="24"/>
          <w:szCs w:val="24"/>
        </w:rPr>
        <w:t xml:space="preserve">  %  Parasite inhibition  of the extract=</w:t>
      </w:r>
    </w:p>
    <w:p w:rsidR="00E1200A" w:rsidRPr="00BD5CE4" w:rsidRDefault="00E1200A" w:rsidP="00E1200A">
      <w:pPr>
        <w:autoSpaceDE w:val="0"/>
        <w:autoSpaceDN w:val="0"/>
        <w:adjustRightInd w:val="0"/>
        <w:spacing w:after="0" w:line="240" w:lineRule="auto"/>
        <w:ind w:left="2880" w:hanging="2880"/>
        <w:jc w:val="both"/>
        <w:rPr>
          <w:rFonts w:ascii="Times New Roman" w:hAnsi="Times New Roman" w:cs="Times New Roman"/>
          <w:sz w:val="24"/>
          <w:szCs w:val="24"/>
        </w:rPr>
      </w:pPr>
      <w:r w:rsidRPr="00BD5CE4">
        <w:rPr>
          <w:rFonts w:ascii="Times New Roman" w:hAnsi="Times New Roman" w:cs="Times New Roman"/>
          <w:sz w:val="24"/>
          <w:szCs w:val="24"/>
        </w:rPr>
        <w:lastRenderedPageBreak/>
        <w:t xml:space="preserve">                                              </w:t>
      </w:r>
      <w:r w:rsidRPr="00BD5CE4">
        <w:rPr>
          <w:rFonts w:ascii="Times New Roman" w:hAnsi="Times New Roman" w:cs="Times New Roman"/>
          <w:sz w:val="24"/>
          <w:szCs w:val="24"/>
          <w:u w:val="single"/>
        </w:rPr>
        <w:t xml:space="preserve"> Parasitemia in negative control - Parasitiemia intreatment </w:t>
      </w:r>
      <w:r w:rsidRPr="00BD5CE4">
        <w:rPr>
          <w:rFonts w:ascii="Times New Roman" w:hAnsi="Times New Roman" w:cs="Times New Roman"/>
          <w:sz w:val="24"/>
          <w:szCs w:val="24"/>
        </w:rPr>
        <w:t>x100         Parasitemia in negative control group</w:t>
      </w:r>
    </w:p>
    <w:p w:rsidR="0032536F" w:rsidRPr="00BD5CE4" w:rsidRDefault="0032536F" w:rsidP="00E1200A">
      <w:pPr>
        <w:jc w:val="both"/>
        <w:rPr>
          <w:rFonts w:ascii="Times New Roman" w:hAnsi="Times New Roman" w:cs="Times New Roman"/>
          <w:sz w:val="24"/>
          <w:szCs w:val="24"/>
        </w:rPr>
      </w:pPr>
      <w:r w:rsidRPr="00BD5CE4">
        <w:rPr>
          <w:rFonts w:ascii="Times New Roman" w:hAnsi="Times New Roman" w:cs="Times New Roman"/>
          <w:sz w:val="24"/>
          <w:szCs w:val="24"/>
        </w:rPr>
        <w:t xml:space="preserve"> RESULTS:</w:t>
      </w: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r w:rsidRPr="00BD5CE4">
        <w:rPr>
          <w:rFonts w:ascii="Times New Roman" w:hAnsi="Times New Roman" w:cs="Times New Roman"/>
          <w:noProof/>
          <w:sz w:val="24"/>
          <w:szCs w:val="24"/>
        </w:rPr>
        <w:drawing>
          <wp:inline distT="0" distB="0" distL="0" distR="0" wp14:anchorId="52825907" wp14:editId="6D9E3EFA">
            <wp:extent cx="6316807" cy="6012873"/>
            <wp:effectExtent l="19050" t="0" r="26843" b="6927"/>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2536F" w:rsidRPr="00BD5CE4" w:rsidRDefault="00C65438" w:rsidP="00E1200A">
      <w:pPr>
        <w:jc w:val="both"/>
        <w:rPr>
          <w:rFonts w:ascii="Times New Roman" w:hAnsi="Times New Roman" w:cs="Times New Roman"/>
          <w:sz w:val="24"/>
          <w:szCs w:val="24"/>
        </w:rPr>
      </w:pPr>
      <w:r>
        <w:rPr>
          <w:rFonts w:ascii="Times New Roman" w:hAnsi="Times New Roman" w:cs="Times New Roman"/>
          <w:sz w:val="24"/>
          <w:szCs w:val="24"/>
        </w:rPr>
        <w:t>Fig 1</w:t>
      </w:r>
      <w:r w:rsidR="0032536F" w:rsidRPr="00BD5CE4">
        <w:rPr>
          <w:rFonts w:ascii="Times New Roman" w:hAnsi="Times New Roman" w:cs="Times New Roman"/>
          <w:sz w:val="24"/>
          <w:szCs w:val="24"/>
        </w:rPr>
        <w:t xml:space="preserve">:Specific  Protease inhibitory activity of </w:t>
      </w:r>
      <w:r w:rsidR="0032536F" w:rsidRPr="00BD5CE4">
        <w:rPr>
          <w:rFonts w:ascii="Times New Roman" w:hAnsi="Times New Roman" w:cs="Times New Roman"/>
          <w:i/>
          <w:iCs/>
          <w:sz w:val="24"/>
          <w:szCs w:val="24"/>
        </w:rPr>
        <w:t xml:space="preserve"> Moringa oleifera </w:t>
      </w:r>
      <w:r w:rsidR="0032536F" w:rsidRPr="00BD5CE4">
        <w:rPr>
          <w:rFonts w:ascii="Times New Roman" w:hAnsi="Times New Roman" w:cs="Times New Roman"/>
          <w:iCs/>
          <w:sz w:val="24"/>
          <w:szCs w:val="24"/>
        </w:rPr>
        <w:t>parts</w:t>
      </w:r>
      <w:r w:rsidR="0032536F" w:rsidRPr="00BD5CE4">
        <w:rPr>
          <w:rFonts w:ascii="Times New Roman" w:hAnsi="Times New Roman" w:cs="Times New Roman"/>
          <w:i/>
          <w:iCs/>
          <w:sz w:val="24"/>
          <w:szCs w:val="24"/>
        </w:rPr>
        <w:t xml:space="preserve"> </w:t>
      </w:r>
      <w:r w:rsidR="0032536F" w:rsidRPr="00BD5CE4">
        <w:rPr>
          <w:rFonts w:ascii="Times New Roman" w:hAnsi="Times New Roman" w:cs="Times New Roman"/>
          <w:sz w:val="24"/>
          <w:szCs w:val="24"/>
        </w:rPr>
        <w:t xml:space="preserve"> with different solvent</w:t>
      </w:r>
    </w:p>
    <w:p w:rsidR="0032536F" w:rsidRPr="00BD5CE4" w:rsidRDefault="0032536F" w:rsidP="00E1200A">
      <w:pPr>
        <w:jc w:val="both"/>
        <w:rPr>
          <w:rFonts w:ascii="Times New Roman" w:hAnsi="Times New Roman" w:cs="Times New Roman"/>
          <w:sz w:val="24"/>
          <w:szCs w:val="24"/>
        </w:rPr>
      </w:pPr>
      <w:r w:rsidRPr="00BD5CE4">
        <w:rPr>
          <w:rFonts w:ascii="Times New Roman" w:hAnsi="Times New Roman" w:cs="Times New Roman"/>
          <w:sz w:val="24"/>
          <w:szCs w:val="24"/>
        </w:rPr>
        <w:t>Values are Mean ± SD</w:t>
      </w:r>
    </w:p>
    <w:p w:rsidR="0032536F" w:rsidRPr="00BD5CE4" w:rsidRDefault="0032536F" w:rsidP="00E1200A">
      <w:pPr>
        <w:jc w:val="both"/>
        <w:rPr>
          <w:rFonts w:ascii="Times New Roman" w:hAnsi="Times New Roman" w:cs="Times New Roman"/>
          <w:sz w:val="24"/>
          <w:szCs w:val="24"/>
        </w:rPr>
      </w:pPr>
      <w:r w:rsidRPr="00BD5CE4">
        <w:rPr>
          <w:rFonts w:ascii="Times New Roman" w:hAnsi="Times New Roman" w:cs="Times New Roman"/>
          <w:sz w:val="24"/>
          <w:szCs w:val="24"/>
        </w:rPr>
        <w:t>Different letters within the same parts of plant indicate significant different(&lt;0.05)</w:t>
      </w: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4480" w:rsidP="00E1200A">
      <w:pPr>
        <w:jc w:val="both"/>
        <w:rPr>
          <w:rFonts w:ascii="Times New Roman" w:hAnsi="Times New Roman" w:cs="Times New Roman"/>
          <w:i/>
          <w:sz w:val="24"/>
          <w:szCs w:val="24"/>
        </w:rPr>
      </w:pPr>
      <w:r w:rsidRPr="00BD5CE4">
        <w:rPr>
          <w:rFonts w:ascii="Times New Roman" w:hAnsi="Times New Roman" w:cs="Times New Roman"/>
          <w:noProof/>
          <w:sz w:val="24"/>
          <w:szCs w:val="24"/>
        </w:rPr>
        <w:drawing>
          <wp:inline distT="0" distB="0" distL="0" distR="0" wp14:anchorId="6AE2EA10" wp14:editId="1E3A6193">
            <wp:extent cx="5605670" cy="5748793"/>
            <wp:effectExtent l="0" t="0" r="14605" b="234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2536F" w:rsidRPr="00BD5CE4" w:rsidRDefault="00324480" w:rsidP="00E1200A">
      <w:pPr>
        <w:jc w:val="both"/>
        <w:rPr>
          <w:rFonts w:ascii="Times New Roman" w:hAnsi="Times New Roman" w:cs="Times New Roman"/>
          <w:bCs/>
          <w:sz w:val="24"/>
          <w:szCs w:val="24"/>
        </w:rPr>
      </w:pPr>
      <w:r w:rsidRPr="00BD5CE4">
        <w:rPr>
          <w:rFonts w:ascii="Times New Roman" w:hAnsi="Times New Roman" w:cs="Times New Roman"/>
          <w:sz w:val="24"/>
          <w:szCs w:val="24"/>
        </w:rPr>
        <w:t>Fig 2</w:t>
      </w:r>
      <w:r w:rsidR="0032536F" w:rsidRPr="00BD5CE4">
        <w:rPr>
          <w:rFonts w:ascii="Times New Roman" w:hAnsi="Times New Roman" w:cs="Times New Roman"/>
          <w:sz w:val="24"/>
          <w:szCs w:val="24"/>
        </w:rPr>
        <w:t>:</w:t>
      </w:r>
      <w:r w:rsidR="002F678A" w:rsidRPr="00BD5CE4">
        <w:rPr>
          <w:rFonts w:ascii="Times New Roman" w:hAnsi="Times New Roman" w:cs="Times New Roman"/>
          <w:b/>
          <w:i/>
          <w:sz w:val="24"/>
          <w:szCs w:val="24"/>
        </w:rPr>
        <w:t xml:space="preserve"> Plasmodium berghei</w:t>
      </w:r>
      <w:r w:rsidR="002F678A" w:rsidRPr="00BD5CE4">
        <w:rPr>
          <w:rFonts w:ascii="Times New Roman" w:hAnsi="Times New Roman" w:cs="Times New Roman"/>
          <w:b/>
          <w:sz w:val="24"/>
          <w:szCs w:val="24"/>
        </w:rPr>
        <w:t xml:space="preserve">  Pro</w:t>
      </w:r>
      <w:r w:rsidR="003865F9">
        <w:rPr>
          <w:rFonts w:ascii="Times New Roman" w:hAnsi="Times New Roman" w:cs="Times New Roman"/>
          <w:b/>
          <w:sz w:val="24"/>
          <w:szCs w:val="24"/>
        </w:rPr>
        <w:t xml:space="preserve">tease inhibtory activity of  </w:t>
      </w:r>
      <w:r w:rsidR="002F678A" w:rsidRPr="00BD5CE4">
        <w:rPr>
          <w:rFonts w:ascii="Times New Roman" w:hAnsi="Times New Roman" w:cs="Times New Roman"/>
          <w:b/>
          <w:sz w:val="24"/>
          <w:szCs w:val="24"/>
        </w:rPr>
        <w:t xml:space="preserve"> the acetone precipitated</w:t>
      </w:r>
      <w:r w:rsidR="0032536F" w:rsidRPr="00BD5CE4">
        <w:rPr>
          <w:rFonts w:ascii="Times New Roman" w:hAnsi="Times New Roman" w:cs="Times New Roman"/>
          <w:sz w:val="24"/>
          <w:szCs w:val="24"/>
        </w:rPr>
        <w:t xml:space="preserve"> </w:t>
      </w:r>
      <w:r w:rsidR="0032536F" w:rsidRPr="00BD5CE4">
        <w:rPr>
          <w:rFonts w:ascii="Times New Roman" w:hAnsi="Times New Roman" w:cs="Times New Roman"/>
          <w:i/>
          <w:sz w:val="24"/>
          <w:szCs w:val="24"/>
        </w:rPr>
        <w:t xml:space="preserve">Moringa oleifera </w:t>
      </w:r>
      <w:r w:rsidR="0032536F" w:rsidRPr="00BD5CE4">
        <w:rPr>
          <w:rFonts w:ascii="Times New Roman" w:hAnsi="Times New Roman" w:cs="Times New Roman"/>
          <w:sz w:val="24"/>
          <w:szCs w:val="24"/>
        </w:rPr>
        <w:t>seeds</w:t>
      </w:r>
      <w:r w:rsidR="0032536F" w:rsidRPr="00BD5CE4">
        <w:rPr>
          <w:rFonts w:ascii="Times New Roman" w:hAnsi="Times New Roman" w:cs="Times New Roman"/>
          <w:i/>
          <w:sz w:val="24"/>
          <w:szCs w:val="24"/>
        </w:rPr>
        <w:t>.</w:t>
      </w:r>
      <w:r w:rsidR="0032536F" w:rsidRPr="00BD5CE4">
        <w:rPr>
          <w:rFonts w:ascii="Times New Roman" w:hAnsi="Times New Roman" w:cs="Times New Roman"/>
          <w:b/>
          <w:bCs/>
          <w:i/>
          <w:sz w:val="24"/>
          <w:szCs w:val="24"/>
        </w:rPr>
        <w:t xml:space="preserve"> </w:t>
      </w:r>
    </w:p>
    <w:p w:rsidR="00C56286" w:rsidRPr="00BC7675" w:rsidRDefault="00C56286" w:rsidP="00C56286">
      <w:pPr>
        <w:spacing w:line="240" w:lineRule="auto"/>
        <w:jc w:val="both"/>
        <w:rPr>
          <w:rFonts w:ascii="Times New Roman" w:hAnsi="Times New Roman"/>
          <w:sz w:val="24"/>
          <w:szCs w:val="24"/>
        </w:rPr>
      </w:pPr>
      <w:r>
        <w:rPr>
          <w:rFonts w:ascii="Times New Roman" w:hAnsi="Times New Roman"/>
          <w:sz w:val="24"/>
          <w:szCs w:val="24"/>
        </w:rPr>
        <w:t>I</w:t>
      </w:r>
      <w:r w:rsidRPr="00BC7675">
        <w:rPr>
          <w:rFonts w:ascii="Times New Roman" w:hAnsi="Times New Roman"/>
          <w:sz w:val="24"/>
          <w:szCs w:val="24"/>
        </w:rPr>
        <w:t>nhibitory  activity was q</w:t>
      </w:r>
      <w:r>
        <w:rPr>
          <w:rFonts w:ascii="Times New Roman" w:hAnsi="Times New Roman"/>
          <w:sz w:val="24"/>
          <w:szCs w:val="24"/>
        </w:rPr>
        <w:t>uantified  by preincubating crude parasite lysate extract with</w:t>
      </w:r>
      <w:r w:rsidRPr="00BC7675">
        <w:rPr>
          <w:rFonts w:ascii="Times New Roman" w:hAnsi="Times New Roman"/>
          <w:sz w:val="24"/>
          <w:szCs w:val="24"/>
        </w:rPr>
        <w:t xml:space="preserve"> plant </w:t>
      </w:r>
      <w:r>
        <w:rPr>
          <w:rFonts w:ascii="Times New Roman" w:hAnsi="Times New Roman"/>
          <w:sz w:val="24"/>
          <w:szCs w:val="24"/>
        </w:rPr>
        <w:t xml:space="preserve">acetone </w:t>
      </w:r>
      <w:r w:rsidRPr="00BC7675">
        <w:rPr>
          <w:rFonts w:ascii="Times New Roman" w:hAnsi="Times New Roman"/>
          <w:sz w:val="24"/>
          <w:szCs w:val="24"/>
        </w:rPr>
        <w:t>extract</w:t>
      </w:r>
      <w:r>
        <w:rPr>
          <w:rFonts w:ascii="Times New Roman" w:hAnsi="Times New Roman"/>
          <w:sz w:val="24"/>
          <w:szCs w:val="24"/>
        </w:rPr>
        <w:t xml:space="preserve">s and </w:t>
      </w:r>
      <w:r w:rsidRPr="00BC7675">
        <w:rPr>
          <w:rFonts w:ascii="Times New Roman" w:eastAsia="GulliverRM" w:hAnsi="Times New Roman"/>
          <w:color w:val="000000"/>
          <w:sz w:val="24"/>
          <w:szCs w:val="24"/>
        </w:rPr>
        <w:t xml:space="preserve">1.25mM </w:t>
      </w:r>
      <w:r w:rsidRPr="00BC7675">
        <w:rPr>
          <w:rFonts w:ascii="Times New Roman" w:hAnsi="Times New Roman"/>
          <w:sz w:val="24"/>
          <w:szCs w:val="24"/>
        </w:rPr>
        <w:t xml:space="preserve"> BAPNA </w:t>
      </w:r>
      <w:r>
        <w:rPr>
          <w:rFonts w:ascii="Times New Roman" w:hAnsi="Times New Roman"/>
          <w:sz w:val="24"/>
          <w:szCs w:val="24"/>
        </w:rPr>
        <w:t>use as substrate.</w:t>
      </w:r>
    </w:p>
    <w:p w:rsidR="0032536F" w:rsidRPr="00BD5CE4" w:rsidRDefault="0032536F" w:rsidP="00E1200A">
      <w:pPr>
        <w:jc w:val="both"/>
        <w:rPr>
          <w:rFonts w:ascii="Times New Roman" w:hAnsi="Times New Roman" w:cs="Times New Roman"/>
          <w:sz w:val="24"/>
          <w:szCs w:val="24"/>
        </w:rPr>
      </w:pPr>
      <w:r w:rsidRPr="00BD5CE4">
        <w:rPr>
          <w:rFonts w:ascii="Times New Roman" w:hAnsi="Times New Roman" w:cs="Times New Roman"/>
          <w:sz w:val="24"/>
          <w:szCs w:val="24"/>
        </w:rPr>
        <w:t>Values are Mean ± SD</w:t>
      </w:r>
    </w:p>
    <w:p w:rsidR="0032536F" w:rsidRPr="00BD5CE4" w:rsidRDefault="0032536F" w:rsidP="00E1200A">
      <w:pPr>
        <w:jc w:val="both"/>
        <w:rPr>
          <w:rFonts w:ascii="Times New Roman" w:hAnsi="Times New Roman" w:cs="Times New Roman"/>
          <w:bCs/>
          <w:sz w:val="24"/>
          <w:szCs w:val="24"/>
        </w:rPr>
      </w:pPr>
    </w:p>
    <w:p w:rsidR="0032536F" w:rsidRPr="00BD5CE4" w:rsidRDefault="0032536F" w:rsidP="00E1200A">
      <w:pPr>
        <w:jc w:val="both"/>
        <w:rPr>
          <w:rFonts w:ascii="Times New Roman" w:hAnsi="Times New Roman" w:cs="Times New Roman"/>
          <w:bCs/>
          <w:sz w:val="24"/>
          <w:szCs w:val="24"/>
        </w:rPr>
      </w:pPr>
    </w:p>
    <w:p w:rsidR="0032536F" w:rsidRPr="00BD5CE4" w:rsidRDefault="0032536F" w:rsidP="00E1200A">
      <w:pPr>
        <w:pStyle w:val="NormalWeb"/>
        <w:spacing w:before="0" w:beforeAutospacing="0" w:after="0" w:afterAutospacing="0"/>
        <w:jc w:val="both"/>
      </w:pPr>
    </w:p>
    <w:p w:rsidR="0032536F" w:rsidRPr="00BD5CE4" w:rsidRDefault="0032536F" w:rsidP="00E1200A">
      <w:pPr>
        <w:pStyle w:val="NormalWeb"/>
        <w:spacing w:before="0" w:beforeAutospacing="0" w:after="0" w:afterAutospacing="0"/>
        <w:jc w:val="both"/>
      </w:pPr>
    </w:p>
    <w:p w:rsidR="0032536F" w:rsidRPr="00BD5CE4" w:rsidRDefault="0032536F" w:rsidP="00E1200A">
      <w:pPr>
        <w:pStyle w:val="NormalWeb"/>
        <w:spacing w:before="0" w:beforeAutospacing="0" w:after="0" w:afterAutospacing="0"/>
        <w:jc w:val="both"/>
      </w:pPr>
    </w:p>
    <w:p w:rsidR="0032536F" w:rsidRPr="00BD5CE4" w:rsidRDefault="0032536F" w:rsidP="00E1200A">
      <w:pPr>
        <w:pStyle w:val="NormalWeb"/>
        <w:spacing w:before="0" w:beforeAutospacing="0" w:after="0" w:afterAutospacing="0"/>
        <w:jc w:val="both"/>
      </w:pPr>
    </w:p>
    <w:p w:rsidR="0032536F" w:rsidRPr="00BD5CE4" w:rsidRDefault="0032536F" w:rsidP="00E1200A">
      <w:pPr>
        <w:pStyle w:val="NormalWeb"/>
        <w:spacing w:before="0" w:beforeAutospacing="0" w:after="0" w:afterAutospacing="0"/>
        <w:jc w:val="both"/>
      </w:pPr>
    </w:p>
    <w:p w:rsidR="0032536F" w:rsidRPr="00BD5CE4" w:rsidRDefault="0032536F" w:rsidP="00E1200A">
      <w:pPr>
        <w:pStyle w:val="NormalWeb"/>
        <w:spacing w:before="0" w:beforeAutospacing="0" w:after="0" w:afterAutospacing="0"/>
        <w:jc w:val="both"/>
      </w:pPr>
      <w:r w:rsidRPr="00BD5CE4">
        <w:t>Table2:  Determination of  Median lethal dose(LD</w:t>
      </w:r>
      <w:r w:rsidRPr="00BD5CE4">
        <w:rPr>
          <w:vertAlign w:val="subscript"/>
        </w:rPr>
        <w:t>50</w:t>
      </w:r>
      <w:r w:rsidRPr="00BD5CE4">
        <w:t>)</w:t>
      </w:r>
    </w:p>
    <w:p w:rsidR="0032536F" w:rsidRPr="00BD5CE4" w:rsidRDefault="0032536F" w:rsidP="00E1200A">
      <w:pPr>
        <w:pStyle w:val="NormalWeb"/>
        <w:spacing w:before="0" w:beforeAutospacing="0" w:after="0" w:afterAutospacing="0"/>
        <w:jc w:val="both"/>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487"/>
        <w:gridCol w:w="1280"/>
        <w:gridCol w:w="1427"/>
        <w:gridCol w:w="1200"/>
        <w:gridCol w:w="1702"/>
      </w:tblGrid>
      <w:tr w:rsidR="0032536F" w:rsidRPr="00BD5CE4" w:rsidTr="003B02D8">
        <w:tc>
          <w:tcPr>
            <w:tcW w:w="0" w:type="auto"/>
            <w:gridSpan w:val="3"/>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 </w:t>
            </w:r>
          </w:p>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 </w:t>
            </w:r>
          </w:p>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 </w:t>
            </w:r>
          </w:p>
        </w:tc>
        <w:tc>
          <w:tcPr>
            <w:tcW w:w="2905"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 xml:space="preserve">                </w:t>
            </w:r>
          </w:p>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 xml:space="preserve">               Death</w:t>
            </w:r>
          </w:p>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 </w:t>
            </w:r>
          </w:p>
        </w:tc>
      </w:tr>
      <w:tr w:rsidR="0032536F" w:rsidRPr="00BD5CE4" w:rsidTr="003B02D8">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Plant sample</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Experiment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Dose(mg/kg)</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After24hrs</w:t>
            </w:r>
          </w:p>
        </w:tc>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LD</w:t>
            </w:r>
            <w:r w:rsidRPr="00BD5CE4">
              <w:rPr>
                <w:rFonts w:ascii="Times New Roman" w:eastAsia="Times New Roman" w:hAnsi="Times New Roman" w:cs="Times New Roman"/>
                <w:sz w:val="24"/>
                <w:szCs w:val="24"/>
                <w:vertAlign w:val="subscript"/>
              </w:rPr>
              <w:t>50</w:t>
            </w:r>
            <w:r w:rsidRPr="00BD5CE4">
              <w:rPr>
                <w:rFonts w:ascii="Times New Roman" w:eastAsia="Times New Roman" w:hAnsi="Times New Roman" w:cs="Times New Roman"/>
                <w:sz w:val="24"/>
                <w:szCs w:val="24"/>
              </w:rPr>
              <w:t>(mg/kg)</w:t>
            </w:r>
          </w:p>
        </w:tc>
      </w:tr>
      <w:tr w:rsidR="0032536F" w:rsidRPr="00BD5CE4" w:rsidTr="003B02D8">
        <w:tc>
          <w:tcPr>
            <w:tcW w:w="0" w:type="auto"/>
            <w:vMerge w:val="restart"/>
            <w:tcBorders>
              <w:top w:val="single" w:sz="8" w:space="0" w:color="A3A3A3"/>
              <w:left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i/>
                <w:sz w:val="24"/>
                <w:szCs w:val="24"/>
              </w:rPr>
            </w:pPr>
          </w:p>
          <w:p w:rsidR="0032536F" w:rsidRPr="00BD5CE4" w:rsidRDefault="0032536F" w:rsidP="00E1200A">
            <w:pPr>
              <w:spacing w:after="0" w:line="240" w:lineRule="auto"/>
              <w:jc w:val="both"/>
              <w:rPr>
                <w:rFonts w:ascii="Times New Roman" w:eastAsia="Times New Roman" w:hAnsi="Times New Roman" w:cs="Times New Roman"/>
                <w:i/>
                <w:sz w:val="24"/>
                <w:szCs w:val="24"/>
              </w:rPr>
            </w:pPr>
          </w:p>
          <w:p w:rsidR="0032536F" w:rsidRPr="00BD5CE4" w:rsidRDefault="0032536F" w:rsidP="00E1200A">
            <w:pPr>
              <w:spacing w:after="0" w:line="240" w:lineRule="auto"/>
              <w:jc w:val="both"/>
              <w:rPr>
                <w:rFonts w:ascii="Times New Roman" w:eastAsia="Times New Roman" w:hAnsi="Times New Roman" w:cs="Times New Roman"/>
                <w:i/>
                <w:sz w:val="24"/>
                <w:szCs w:val="24"/>
              </w:rPr>
            </w:pPr>
          </w:p>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i/>
                <w:sz w:val="24"/>
                <w:szCs w:val="24"/>
              </w:rPr>
              <w:t>Moringa.oleifera</w:t>
            </w:r>
            <w:r w:rsidRPr="00BD5CE4">
              <w:rPr>
                <w:rFonts w:ascii="Times New Roman" w:eastAsia="Times New Roman" w:hAnsi="Times New Roman" w:cs="Times New Roman"/>
                <w:sz w:val="24"/>
                <w:szCs w:val="24"/>
              </w:rPr>
              <w:t>(seeds)</w:t>
            </w:r>
          </w:p>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 </w:t>
            </w:r>
          </w:p>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 </w:t>
            </w:r>
          </w:p>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 </w:t>
            </w:r>
          </w:p>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 </w:t>
            </w:r>
          </w:p>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 </w:t>
            </w:r>
          </w:p>
        </w:tc>
        <w:tc>
          <w:tcPr>
            <w:tcW w:w="0" w:type="auto"/>
            <w:vMerge w:val="restart"/>
            <w:tcBorders>
              <w:top w:val="single" w:sz="8" w:space="0" w:color="A3A3A3"/>
              <w:left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p>
          <w:p w:rsidR="0032536F" w:rsidRPr="00BD5CE4" w:rsidRDefault="0032536F" w:rsidP="00E1200A">
            <w:pPr>
              <w:spacing w:after="0" w:line="240" w:lineRule="auto"/>
              <w:jc w:val="both"/>
              <w:rPr>
                <w:rFonts w:ascii="Times New Roman" w:eastAsia="Times New Roman" w:hAnsi="Times New Roman" w:cs="Times New Roman"/>
                <w:sz w:val="24"/>
                <w:szCs w:val="24"/>
              </w:rPr>
            </w:pPr>
          </w:p>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Phase1</w:t>
            </w:r>
          </w:p>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 </w:t>
            </w:r>
          </w:p>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 </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10</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0/3</w:t>
            </w:r>
          </w:p>
        </w:tc>
        <w:tc>
          <w:tcPr>
            <w:tcW w:w="1702" w:type="dxa"/>
            <w:vMerge w:val="restart"/>
            <w:tcBorders>
              <w:top w:val="single" w:sz="8" w:space="0" w:color="A3A3A3"/>
              <w:left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p>
          <w:p w:rsidR="0032536F" w:rsidRPr="00BD5CE4" w:rsidRDefault="0032536F" w:rsidP="00E1200A">
            <w:pPr>
              <w:spacing w:after="0" w:line="240" w:lineRule="auto"/>
              <w:jc w:val="both"/>
              <w:rPr>
                <w:rFonts w:ascii="Times New Roman" w:eastAsia="Times New Roman" w:hAnsi="Times New Roman" w:cs="Times New Roman"/>
                <w:sz w:val="24"/>
                <w:szCs w:val="24"/>
              </w:rPr>
            </w:pPr>
          </w:p>
          <w:p w:rsidR="0032536F" w:rsidRPr="00BD5CE4" w:rsidRDefault="0032536F" w:rsidP="00E1200A">
            <w:pPr>
              <w:spacing w:after="0" w:line="240" w:lineRule="auto"/>
              <w:jc w:val="both"/>
              <w:rPr>
                <w:rFonts w:ascii="Times New Roman" w:eastAsia="Times New Roman" w:hAnsi="Times New Roman" w:cs="Times New Roman"/>
                <w:sz w:val="24"/>
                <w:szCs w:val="24"/>
              </w:rPr>
            </w:pPr>
          </w:p>
          <w:p w:rsidR="0032536F" w:rsidRPr="00BD5CE4" w:rsidRDefault="0032536F" w:rsidP="00E1200A">
            <w:pPr>
              <w:spacing w:after="0" w:line="240" w:lineRule="auto"/>
              <w:jc w:val="both"/>
              <w:rPr>
                <w:rFonts w:ascii="Times New Roman" w:eastAsia="Times New Roman" w:hAnsi="Times New Roman" w:cs="Times New Roman"/>
                <w:sz w:val="24"/>
                <w:szCs w:val="24"/>
              </w:rPr>
            </w:pPr>
          </w:p>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565.00</w:t>
            </w:r>
          </w:p>
          <w:p w:rsidR="0032536F" w:rsidRPr="00BD5CE4" w:rsidRDefault="0032536F" w:rsidP="00E1200A">
            <w:pPr>
              <w:spacing w:after="0" w:line="240" w:lineRule="auto"/>
              <w:jc w:val="both"/>
              <w:rPr>
                <w:rFonts w:ascii="Times New Roman" w:eastAsia="Times New Roman" w:hAnsi="Times New Roman" w:cs="Times New Roman"/>
                <w:sz w:val="24"/>
                <w:szCs w:val="24"/>
              </w:rPr>
            </w:pPr>
          </w:p>
        </w:tc>
      </w:tr>
      <w:tr w:rsidR="0032536F" w:rsidRPr="00BD5CE4" w:rsidTr="003B02D8">
        <w:tc>
          <w:tcPr>
            <w:tcW w:w="0" w:type="auto"/>
            <w:vMerge/>
            <w:tcBorders>
              <w:left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p>
        </w:tc>
        <w:tc>
          <w:tcPr>
            <w:tcW w:w="0" w:type="auto"/>
            <w:vMerge/>
            <w:tcBorders>
              <w:left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100</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0/3</w:t>
            </w:r>
          </w:p>
        </w:tc>
        <w:tc>
          <w:tcPr>
            <w:tcW w:w="1702" w:type="dxa"/>
            <w:vMerge/>
            <w:tcBorders>
              <w:left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p>
        </w:tc>
      </w:tr>
      <w:tr w:rsidR="0032536F" w:rsidRPr="00BD5CE4" w:rsidTr="003B02D8">
        <w:tc>
          <w:tcPr>
            <w:tcW w:w="0" w:type="auto"/>
            <w:vMerge/>
            <w:tcBorders>
              <w:left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p>
        </w:tc>
        <w:tc>
          <w:tcPr>
            <w:tcW w:w="0" w:type="auto"/>
            <w:vMerge/>
            <w:tcBorders>
              <w:left w:val="single" w:sz="8" w:space="0" w:color="A3A3A3"/>
              <w:bottom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1000</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3/3</w:t>
            </w:r>
          </w:p>
        </w:tc>
        <w:tc>
          <w:tcPr>
            <w:tcW w:w="1702" w:type="dxa"/>
            <w:vMerge/>
            <w:tcBorders>
              <w:left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p>
        </w:tc>
      </w:tr>
      <w:tr w:rsidR="0032536F" w:rsidRPr="00BD5CE4" w:rsidTr="003B02D8">
        <w:tc>
          <w:tcPr>
            <w:tcW w:w="0" w:type="auto"/>
            <w:vMerge/>
            <w:tcBorders>
              <w:left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p>
        </w:tc>
        <w:tc>
          <w:tcPr>
            <w:tcW w:w="0" w:type="auto"/>
            <w:vMerge w:val="restart"/>
            <w:tcBorders>
              <w:top w:val="single" w:sz="8" w:space="0" w:color="A3A3A3"/>
              <w:left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p>
          <w:p w:rsidR="0032536F" w:rsidRPr="00BD5CE4" w:rsidRDefault="0032536F" w:rsidP="00E1200A">
            <w:pPr>
              <w:spacing w:after="0" w:line="240" w:lineRule="auto"/>
              <w:jc w:val="both"/>
              <w:rPr>
                <w:rFonts w:ascii="Times New Roman" w:eastAsia="Times New Roman" w:hAnsi="Times New Roman" w:cs="Times New Roman"/>
                <w:sz w:val="24"/>
                <w:szCs w:val="24"/>
              </w:rPr>
            </w:pPr>
          </w:p>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Phase2</w:t>
            </w:r>
          </w:p>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 </w:t>
            </w:r>
          </w:p>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 </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200</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0/3</w:t>
            </w:r>
          </w:p>
        </w:tc>
        <w:tc>
          <w:tcPr>
            <w:tcW w:w="1702" w:type="dxa"/>
            <w:vMerge/>
            <w:tcBorders>
              <w:left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p>
        </w:tc>
      </w:tr>
      <w:tr w:rsidR="0032536F" w:rsidRPr="00BD5CE4" w:rsidTr="003B02D8">
        <w:tc>
          <w:tcPr>
            <w:tcW w:w="0" w:type="auto"/>
            <w:vMerge/>
            <w:tcBorders>
              <w:left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p>
        </w:tc>
        <w:tc>
          <w:tcPr>
            <w:tcW w:w="0" w:type="auto"/>
            <w:vMerge/>
            <w:tcBorders>
              <w:left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400</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0/3</w:t>
            </w:r>
          </w:p>
        </w:tc>
        <w:tc>
          <w:tcPr>
            <w:tcW w:w="1702" w:type="dxa"/>
            <w:vMerge/>
            <w:tcBorders>
              <w:left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p>
        </w:tc>
      </w:tr>
      <w:tr w:rsidR="0032536F" w:rsidRPr="00BD5CE4" w:rsidTr="003B02D8">
        <w:tc>
          <w:tcPr>
            <w:tcW w:w="0" w:type="auto"/>
            <w:vMerge/>
            <w:tcBorders>
              <w:left w:val="single" w:sz="8" w:space="0" w:color="A3A3A3"/>
              <w:bottom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p>
        </w:tc>
        <w:tc>
          <w:tcPr>
            <w:tcW w:w="0" w:type="auto"/>
            <w:vMerge/>
            <w:tcBorders>
              <w:left w:val="single" w:sz="8" w:space="0" w:color="A3A3A3"/>
              <w:bottom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800</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r w:rsidRPr="00BD5CE4">
              <w:rPr>
                <w:rFonts w:ascii="Times New Roman" w:eastAsia="Times New Roman" w:hAnsi="Times New Roman" w:cs="Times New Roman"/>
                <w:sz w:val="24"/>
                <w:szCs w:val="24"/>
              </w:rPr>
              <w:t>2/3</w:t>
            </w:r>
          </w:p>
        </w:tc>
        <w:tc>
          <w:tcPr>
            <w:tcW w:w="1702" w:type="dxa"/>
            <w:vMerge/>
            <w:tcBorders>
              <w:left w:val="single" w:sz="8" w:space="0" w:color="A3A3A3"/>
              <w:bottom w:val="single" w:sz="8" w:space="0" w:color="A3A3A3"/>
              <w:right w:val="single" w:sz="8" w:space="0" w:color="A3A3A3"/>
            </w:tcBorders>
            <w:tcMar>
              <w:top w:w="80" w:type="dxa"/>
              <w:left w:w="80" w:type="dxa"/>
              <w:bottom w:w="80" w:type="dxa"/>
              <w:right w:w="80" w:type="dxa"/>
            </w:tcMar>
            <w:hideMark/>
          </w:tcPr>
          <w:p w:rsidR="0032536F" w:rsidRPr="00BD5CE4" w:rsidRDefault="0032536F" w:rsidP="00E1200A">
            <w:pPr>
              <w:spacing w:after="0" w:line="240" w:lineRule="auto"/>
              <w:jc w:val="both"/>
              <w:rPr>
                <w:rFonts w:ascii="Times New Roman" w:eastAsia="Times New Roman" w:hAnsi="Times New Roman" w:cs="Times New Roman"/>
                <w:sz w:val="24"/>
                <w:szCs w:val="24"/>
              </w:rPr>
            </w:pPr>
          </w:p>
        </w:tc>
      </w:tr>
    </w:tbl>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bCs/>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i/>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4480" w:rsidP="00E1200A">
      <w:pPr>
        <w:jc w:val="both"/>
        <w:rPr>
          <w:rFonts w:ascii="Times New Roman" w:hAnsi="Times New Roman" w:cs="Times New Roman"/>
          <w:sz w:val="24"/>
          <w:szCs w:val="24"/>
        </w:rPr>
      </w:pPr>
      <w:r w:rsidRPr="00BD5CE4">
        <w:rPr>
          <w:rFonts w:ascii="Times New Roman" w:hAnsi="Times New Roman" w:cs="Times New Roman"/>
          <w:noProof/>
          <w:sz w:val="24"/>
          <w:szCs w:val="24"/>
        </w:rPr>
        <w:drawing>
          <wp:inline distT="0" distB="0" distL="0" distR="0" wp14:anchorId="40BDFE52" wp14:editId="53D2794A">
            <wp:extent cx="5390984" cy="4548146"/>
            <wp:effectExtent l="0" t="0" r="19685" b="241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2536F" w:rsidRPr="00BD5CE4" w:rsidRDefault="00C265E2" w:rsidP="00E1200A">
      <w:pPr>
        <w:jc w:val="both"/>
        <w:rPr>
          <w:rFonts w:ascii="Times New Roman" w:hAnsi="Times New Roman" w:cs="Times New Roman"/>
          <w:bCs/>
          <w:iCs/>
          <w:sz w:val="24"/>
          <w:szCs w:val="24"/>
        </w:rPr>
      </w:pPr>
      <w:r w:rsidRPr="00BD5CE4">
        <w:rPr>
          <w:rFonts w:ascii="Times New Roman" w:hAnsi="Times New Roman" w:cs="Times New Roman"/>
          <w:b/>
          <w:bCs/>
          <w:sz w:val="24"/>
          <w:szCs w:val="24"/>
        </w:rPr>
        <w:t>FIG3</w:t>
      </w:r>
      <w:r w:rsidR="0032536F" w:rsidRPr="00BD5CE4">
        <w:rPr>
          <w:rFonts w:ascii="Times New Roman" w:hAnsi="Times New Roman" w:cs="Times New Roman"/>
          <w:b/>
          <w:bCs/>
          <w:sz w:val="24"/>
          <w:szCs w:val="24"/>
        </w:rPr>
        <w:t xml:space="preserve">: Mean Body Weight of Experimental Mice </w:t>
      </w:r>
      <w:r w:rsidR="0032536F" w:rsidRPr="00BD5CE4">
        <w:rPr>
          <w:rFonts w:ascii="Times New Roman" w:hAnsi="Times New Roman" w:cs="Times New Roman"/>
          <w:b/>
          <w:bCs/>
          <w:i/>
          <w:iCs/>
          <w:sz w:val="24"/>
          <w:szCs w:val="24"/>
        </w:rPr>
        <w:t xml:space="preserve">  treated with CPI from</w:t>
      </w:r>
      <w:r w:rsidR="00802C8F" w:rsidRPr="00BD5CE4">
        <w:rPr>
          <w:rFonts w:ascii="Times New Roman" w:hAnsi="Times New Roman" w:cs="Times New Roman"/>
          <w:b/>
          <w:bCs/>
          <w:i/>
          <w:iCs/>
          <w:sz w:val="24"/>
          <w:szCs w:val="24"/>
        </w:rPr>
        <w:t xml:space="preserve"> </w:t>
      </w:r>
      <w:r w:rsidR="0032536F" w:rsidRPr="00BD5CE4">
        <w:rPr>
          <w:rFonts w:ascii="Times New Roman" w:hAnsi="Times New Roman" w:cs="Times New Roman"/>
          <w:b/>
          <w:bCs/>
          <w:i/>
          <w:iCs/>
          <w:sz w:val="24"/>
          <w:szCs w:val="24"/>
        </w:rPr>
        <w:t xml:space="preserve"> Moringa oleifera seed</w:t>
      </w:r>
      <w:r w:rsidR="00802C8F" w:rsidRPr="00BD5CE4">
        <w:rPr>
          <w:rFonts w:ascii="Times New Roman" w:hAnsi="Times New Roman" w:cs="Times New Roman"/>
          <w:b/>
          <w:bCs/>
          <w:i/>
          <w:iCs/>
          <w:sz w:val="24"/>
          <w:szCs w:val="24"/>
        </w:rPr>
        <w:t xml:space="preserve"> </w:t>
      </w:r>
      <w:r w:rsidR="0032536F" w:rsidRPr="00BD5CE4">
        <w:rPr>
          <w:rFonts w:ascii="Times New Roman" w:hAnsi="Times New Roman" w:cs="Times New Roman"/>
          <w:b/>
          <w:bCs/>
          <w:i/>
          <w:iCs/>
          <w:sz w:val="24"/>
          <w:szCs w:val="24"/>
        </w:rPr>
        <w:t xml:space="preserve"> </w:t>
      </w:r>
      <w:r w:rsidR="0032536F" w:rsidRPr="00BD5CE4">
        <w:rPr>
          <w:rFonts w:ascii="Times New Roman" w:hAnsi="Times New Roman" w:cs="Times New Roman"/>
          <w:b/>
          <w:bCs/>
          <w:iCs/>
          <w:sz w:val="24"/>
          <w:szCs w:val="24"/>
        </w:rPr>
        <w:t xml:space="preserve"> for 21 days</w:t>
      </w:r>
      <w:r w:rsidR="0032536F" w:rsidRPr="00BD5CE4">
        <w:rPr>
          <w:rFonts w:ascii="Times New Roman" w:hAnsi="Times New Roman" w:cs="Times New Roman"/>
          <w:b/>
          <w:bCs/>
          <w:i/>
          <w:iCs/>
          <w:sz w:val="24"/>
          <w:szCs w:val="24"/>
        </w:rPr>
        <w:t xml:space="preserve"> </w:t>
      </w:r>
    </w:p>
    <w:p w:rsidR="0032536F" w:rsidRPr="00BD5CE4" w:rsidRDefault="0032536F" w:rsidP="00E1200A">
      <w:pPr>
        <w:jc w:val="both"/>
        <w:rPr>
          <w:rFonts w:ascii="Times New Roman" w:hAnsi="Times New Roman" w:cs="Times New Roman"/>
          <w:sz w:val="24"/>
          <w:szCs w:val="24"/>
        </w:rPr>
      </w:pPr>
      <w:r w:rsidRPr="00BD5CE4">
        <w:rPr>
          <w:rFonts w:ascii="Times New Roman" w:hAnsi="Times New Roman" w:cs="Times New Roman"/>
          <w:sz w:val="24"/>
          <w:szCs w:val="24"/>
        </w:rPr>
        <w:t>Values are Mean ± SEM</w:t>
      </w:r>
    </w:p>
    <w:p w:rsidR="0032536F" w:rsidRPr="00BD5CE4" w:rsidRDefault="0032536F" w:rsidP="00E1200A">
      <w:pPr>
        <w:jc w:val="both"/>
        <w:rPr>
          <w:rFonts w:ascii="Times New Roman" w:hAnsi="Times New Roman" w:cs="Times New Roman"/>
          <w:b/>
          <w:bCs/>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C265E2" w:rsidP="00E1200A">
      <w:pPr>
        <w:jc w:val="both"/>
        <w:rPr>
          <w:rFonts w:ascii="Times New Roman" w:hAnsi="Times New Roman" w:cs="Times New Roman"/>
          <w:sz w:val="24"/>
          <w:szCs w:val="24"/>
        </w:rPr>
      </w:pPr>
      <w:r w:rsidRPr="00BD5CE4">
        <w:rPr>
          <w:rFonts w:ascii="Times New Roman" w:hAnsi="Times New Roman" w:cs="Times New Roman"/>
          <w:noProof/>
          <w:sz w:val="24"/>
          <w:szCs w:val="24"/>
        </w:rPr>
        <w:lastRenderedPageBreak/>
        <w:drawing>
          <wp:inline distT="0" distB="0" distL="0" distR="0" wp14:anchorId="4C83DC21" wp14:editId="79A0CC6E">
            <wp:extent cx="5597718" cy="6146358"/>
            <wp:effectExtent l="0" t="0" r="22225" b="260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536F" w:rsidRPr="00BD5CE4" w:rsidRDefault="0032536F" w:rsidP="00E1200A">
      <w:pPr>
        <w:ind w:left="2542"/>
        <w:jc w:val="both"/>
        <w:rPr>
          <w:rFonts w:ascii="Times New Roman" w:hAnsi="Times New Roman" w:cs="Times New Roman"/>
          <w:sz w:val="24"/>
          <w:szCs w:val="24"/>
        </w:rPr>
      </w:pPr>
      <w:r w:rsidRPr="00BD5CE4">
        <w:rPr>
          <w:rFonts w:ascii="Times New Roman" w:hAnsi="Times New Roman" w:cs="Times New Roman"/>
          <w:sz w:val="24"/>
          <w:szCs w:val="24"/>
        </w:rPr>
        <w:t>Treatment groups</w:t>
      </w:r>
    </w:p>
    <w:p w:rsidR="0032536F" w:rsidRPr="00BD5CE4" w:rsidRDefault="00C265E2" w:rsidP="00E1200A">
      <w:pPr>
        <w:jc w:val="both"/>
        <w:rPr>
          <w:rFonts w:ascii="Times New Roman" w:hAnsi="Times New Roman" w:cs="Times New Roman"/>
          <w:sz w:val="24"/>
          <w:szCs w:val="24"/>
        </w:rPr>
      </w:pPr>
      <w:r w:rsidRPr="00BD5CE4">
        <w:rPr>
          <w:rFonts w:ascii="Times New Roman" w:hAnsi="Times New Roman" w:cs="Times New Roman"/>
          <w:sz w:val="24"/>
          <w:szCs w:val="24"/>
        </w:rPr>
        <w:t>Fig4</w:t>
      </w:r>
      <w:r w:rsidR="0032536F" w:rsidRPr="00BD5CE4">
        <w:rPr>
          <w:rFonts w:ascii="Times New Roman" w:hAnsi="Times New Roman" w:cs="Times New Roman"/>
          <w:sz w:val="24"/>
          <w:szCs w:val="24"/>
        </w:rPr>
        <w:t xml:space="preserve">:Mean PCV of experimental mice </w:t>
      </w:r>
      <w:r w:rsidR="0032536F" w:rsidRPr="00BD5CE4">
        <w:rPr>
          <w:rFonts w:ascii="Times New Roman" w:hAnsi="Times New Roman" w:cs="Times New Roman"/>
          <w:i/>
          <w:iCs/>
          <w:sz w:val="24"/>
          <w:szCs w:val="24"/>
        </w:rPr>
        <w:t xml:space="preserve">  treated with CPI from Moringa oleifera</w:t>
      </w:r>
      <w:r w:rsidR="0032536F" w:rsidRPr="00BD5CE4">
        <w:rPr>
          <w:rFonts w:ascii="Times New Roman" w:hAnsi="Times New Roman" w:cs="Times New Roman"/>
          <w:sz w:val="24"/>
          <w:szCs w:val="24"/>
        </w:rPr>
        <w:t xml:space="preserve"> </w:t>
      </w:r>
      <w:r w:rsidR="00802C8F" w:rsidRPr="00BD5CE4">
        <w:rPr>
          <w:rFonts w:ascii="Times New Roman" w:hAnsi="Times New Roman" w:cs="Times New Roman"/>
          <w:sz w:val="24"/>
          <w:szCs w:val="24"/>
        </w:rPr>
        <w:t>seeds</w:t>
      </w:r>
    </w:p>
    <w:p w:rsidR="0032536F" w:rsidRPr="00BD5CE4" w:rsidRDefault="0032536F" w:rsidP="00E1200A">
      <w:pPr>
        <w:jc w:val="both"/>
        <w:rPr>
          <w:rFonts w:ascii="Times New Roman" w:hAnsi="Times New Roman" w:cs="Times New Roman"/>
          <w:sz w:val="24"/>
          <w:szCs w:val="24"/>
        </w:rPr>
      </w:pPr>
      <w:r w:rsidRPr="00BD5CE4">
        <w:rPr>
          <w:rFonts w:ascii="Times New Roman" w:hAnsi="Times New Roman" w:cs="Times New Roman"/>
          <w:sz w:val="24"/>
          <w:szCs w:val="24"/>
        </w:rPr>
        <w:t>Values are Mean ± SEM</w:t>
      </w:r>
    </w:p>
    <w:p w:rsidR="0032536F" w:rsidRPr="00BD5CE4" w:rsidRDefault="0032536F" w:rsidP="00E1200A">
      <w:pPr>
        <w:jc w:val="both"/>
        <w:rPr>
          <w:rFonts w:ascii="Times New Roman" w:hAnsi="Times New Roman" w:cs="Times New Roman"/>
          <w:sz w:val="24"/>
          <w:szCs w:val="24"/>
        </w:rPr>
      </w:pPr>
    </w:p>
    <w:p w:rsidR="00C265E2" w:rsidRPr="00BD5CE4" w:rsidRDefault="00C265E2"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tbl>
      <w:tblPr>
        <w:tblW w:w="10234" w:type="dxa"/>
        <w:tblInd w:w="97" w:type="dxa"/>
        <w:tblLook w:val="04A0" w:firstRow="1" w:lastRow="0" w:firstColumn="1" w:lastColumn="0" w:noHBand="0" w:noVBand="1"/>
      </w:tblPr>
      <w:tblGrid>
        <w:gridCol w:w="1991"/>
        <w:gridCol w:w="1508"/>
        <w:gridCol w:w="1339"/>
        <w:gridCol w:w="1696"/>
        <w:gridCol w:w="1308"/>
        <w:gridCol w:w="1459"/>
        <w:gridCol w:w="1470"/>
      </w:tblGrid>
      <w:tr w:rsidR="0032536F" w:rsidRPr="00BD5CE4" w:rsidTr="0032536F">
        <w:trPr>
          <w:trHeight w:val="315"/>
        </w:trPr>
        <w:tc>
          <w:tcPr>
            <w:tcW w:w="10234" w:type="dxa"/>
            <w:gridSpan w:val="7"/>
            <w:tcBorders>
              <w:top w:val="nil"/>
              <w:left w:val="nil"/>
              <w:bottom w:val="nil"/>
              <w:right w:val="nil"/>
            </w:tcBorders>
            <w:shd w:val="clear" w:color="auto" w:fill="auto"/>
            <w:noWrap/>
            <w:vAlign w:val="bottom"/>
            <w:hideMark/>
          </w:tcPr>
          <w:p w:rsidR="0032536F" w:rsidRPr="00BD5CE4" w:rsidRDefault="00802C8F" w:rsidP="00E1200A">
            <w:pPr>
              <w:spacing w:after="0" w:line="240" w:lineRule="auto"/>
              <w:jc w:val="both"/>
              <w:rPr>
                <w:rFonts w:ascii="Times New Roman" w:eastAsia="Times New Roman" w:hAnsi="Times New Roman" w:cs="Times New Roman"/>
                <w:iCs/>
                <w:color w:val="000000"/>
                <w:sz w:val="24"/>
                <w:szCs w:val="24"/>
              </w:rPr>
            </w:pPr>
            <w:r w:rsidRPr="00BD5CE4">
              <w:rPr>
                <w:rFonts w:ascii="Times New Roman" w:eastAsia="Times New Roman" w:hAnsi="Times New Roman" w:cs="Times New Roman"/>
                <w:color w:val="000000"/>
                <w:sz w:val="24"/>
                <w:szCs w:val="24"/>
              </w:rPr>
              <w:lastRenderedPageBreak/>
              <w:t>Table 2</w:t>
            </w:r>
            <w:r w:rsidR="0032536F" w:rsidRPr="00BD5CE4">
              <w:rPr>
                <w:rFonts w:ascii="Times New Roman" w:eastAsia="Times New Roman" w:hAnsi="Times New Roman" w:cs="Times New Roman"/>
                <w:color w:val="000000"/>
                <w:sz w:val="24"/>
                <w:szCs w:val="24"/>
              </w:rPr>
              <w:t>:Effect of Biochemical parameters on mice treated with crude CPI extract from</w:t>
            </w:r>
            <w:r w:rsidR="0032536F" w:rsidRPr="00BD5CE4">
              <w:rPr>
                <w:rFonts w:ascii="Times New Roman" w:eastAsia="Times New Roman" w:hAnsi="Times New Roman" w:cs="Times New Roman"/>
                <w:i/>
                <w:iCs/>
                <w:color w:val="000000"/>
                <w:sz w:val="24"/>
                <w:szCs w:val="24"/>
              </w:rPr>
              <w:t xml:space="preserve"> moringa oleifera</w:t>
            </w:r>
            <w:r w:rsidRPr="00BD5CE4">
              <w:rPr>
                <w:rFonts w:ascii="Times New Roman" w:eastAsia="Times New Roman" w:hAnsi="Times New Roman" w:cs="Times New Roman"/>
                <w:iCs/>
                <w:color w:val="000000"/>
                <w:sz w:val="24"/>
                <w:szCs w:val="24"/>
              </w:rPr>
              <w:t xml:space="preserve"> seeds</w:t>
            </w:r>
          </w:p>
          <w:p w:rsidR="0032536F" w:rsidRPr="00BD5CE4" w:rsidRDefault="0032536F" w:rsidP="00E1200A">
            <w:pPr>
              <w:spacing w:after="0" w:line="240" w:lineRule="auto"/>
              <w:jc w:val="both"/>
              <w:rPr>
                <w:rFonts w:ascii="Times New Roman" w:eastAsia="Times New Roman" w:hAnsi="Times New Roman" w:cs="Times New Roman"/>
                <w:color w:val="000000"/>
                <w:sz w:val="24"/>
                <w:szCs w:val="24"/>
              </w:rPr>
            </w:pPr>
          </w:p>
        </w:tc>
      </w:tr>
      <w:tr w:rsidR="0032536F" w:rsidRPr="00BD5CE4" w:rsidTr="0032536F">
        <w:trPr>
          <w:trHeight w:val="315"/>
        </w:trPr>
        <w:tc>
          <w:tcPr>
            <w:tcW w:w="18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2536F" w:rsidRPr="00BD5CE4" w:rsidRDefault="0032536F"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 </w:t>
            </w:r>
          </w:p>
        </w:tc>
        <w:tc>
          <w:tcPr>
            <w:tcW w:w="1403" w:type="dxa"/>
            <w:tcBorders>
              <w:top w:val="single" w:sz="8" w:space="0" w:color="auto"/>
              <w:left w:val="nil"/>
              <w:bottom w:val="single" w:sz="8" w:space="0" w:color="auto"/>
              <w:right w:val="single" w:sz="8" w:space="0" w:color="auto"/>
            </w:tcBorders>
            <w:shd w:val="clear" w:color="auto" w:fill="auto"/>
            <w:noWrap/>
            <w:vAlign w:val="bottom"/>
            <w:hideMark/>
          </w:tcPr>
          <w:p w:rsidR="0032536F" w:rsidRPr="00BD5CE4" w:rsidRDefault="0032536F"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Glucose</w:t>
            </w:r>
          </w:p>
          <w:p w:rsidR="0032536F" w:rsidRPr="00BD5CE4" w:rsidRDefault="0032536F"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(mg/dl)</w:t>
            </w:r>
          </w:p>
        </w:tc>
        <w:tc>
          <w:tcPr>
            <w:tcW w:w="1247" w:type="dxa"/>
            <w:tcBorders>
              <w:top w:val="single" w:sz="8" w:space="0" w:color="auto"/>
              <w:left w:val="nil"/>
              <w:bottom w:val="single" w:sz="8" w:space="0" w:color="auto"/>
              <w:right w:val="single" w:sz="8" w:space="0" w:color="auto"/>
            </w:tcBorders>
            <w:shd w:val="clear" w:color="auto" w:fill="auto"/>
            <w:noWrap/>
            <w:vAlign w:val="bottom"/>
            <w:hideMark/>
          </w:tcPr>
          <w:p w:rsidR="0032536F" w:rsidRPr="00BD5CE4" w:rsidRDefault="0032536F"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Protein</w:t>
            </w:r>
          </w:p>
          <w:p w:rsidR="0032536F" w:rsidRPr="00BD5CE4" w:rsidRDefault="0032536F"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(mg/dl)</w:t>
            </w:r>
          </w:p>
        </w:tc>
        <w:tc>
          <w:tcPr>
            <w:tcW w:w="1682" w:type="dxa"/>
            <w:tcBorders>
              <w:top w:val="single" w:sz="8" w:space="0" w:color="auto"/>
              <w:left w:val="nil"/>
              <w:bottom w:val="single" w:sz="8" w:space="0" w:color="auto"/>
              <w:right w:val="single" w:sz="8" w:space="0" w:color="auto"/>
            </w:tcBorders>
            <w:shd w:val="clear" w:color="auto" w:fill="auto"/>
            <w:noWrap/>
            <w:vAlign w:val="bottom"/>
            <w:hideMark/>
          </w:tcPr>
          <w:p w:rsidR="0032536F" w:rsidRPr="00BD5CE4" w:rsidRDefault="0032536F"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Triacylglycerol</w:t>
            </w:r>
          </w:p>
          <w:p w:rsidR="0032536F" w:rsidRPr="00BD5CE4" w:rsidRDefault="0032536F"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(mg/dl)</w:t>
            </w:r>
          </w:p>
        </w:tc>
        <w:tc>
          <w:tcPr>
            <w:tcW w:w="1218" w:type="dxa"/>
            <w:tcBorders>
              <w:top w:val="single" w:sz="8" w:space="0" w:color="auto"/>
              <w:left w:val="nil"/>
              <w:bottom w:val="single" w:sz="8" w:space="0" w:color="auto"/>
              <w:right w:val="single" w:sz="8" w:space="0" w:color="auto"/>
            </w:tcBorders>
            <w:shd w:val="clear" w:color="auto" w:fill="auto"/>
            <w:noWrap/>
            <w:vAlign w:val="bottom"/>
            <w:hideMark/>
          </w:tcPr>
          <w:p w:rsidR="0032536F" w:rsidRPr="00BD5CE4" w:rsidRDefault="0032536F"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AST(U/L)</w:t>
            </w:r>
          </w:p>
        </w:tc>
        <w:tc>
          <w:tcPr>
            <w:tcW w:w="1358" w:type="dxa"/>
            <w:tcBorders>
              <w:top w:val="single" w:sz="8" w:space="0" w:color="auto"/>
              <w:left w:val="nil"/>
              <w:bottom w:val="single" w:sz="8" w:space="0" w:color="auto"/>
              <w:right w:val="single" w:sz="8" w:space="0" w:color="auto"/>
            </w:tcBorders>
            <w:shd w:val="clear" w:color="auto" w:fill="auto"/>
            <w:noWrap/>
            <w:vAlign w:val="bottom"/>
            <w:hideMark/>
          </w:tcPr>
          <w:p w:rsidR="0032536F" w:rsidRPr="00BD5CE4" w:rsidRDefault="0032536F"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ALT(U/L)</w:t>
            </w:r>
          </w:p>
        </w:tc>
        <w:tc>
          <w:tcPr>
            <w:tcW w:w="1470" w:type="dxa"/>
            <w:tcBorders>
              <w:top w:val="single" w:sz="8" w:space="0" w:color="auto"/>
              <w:left w:val="nil"/>
              <w:bottom w:val="single" w:sz="8" w:space="0" w:color="auto"/>
              <w:right w:val="single" w:sz="8" w:space="0" w:color="auto"/>
            </w:tcBorders>
            <w:shd w:val="clear" w:color="auto" w:fill="auto"/>
            <w:noWrap/>
            <w:vAlign w:val="bottom"/>
            <w:hideMark/>
          </w:tcPr>
          <w:p w:rsidR="0032536F" w:rsidRPr="00BD5CE4" w:rsidRDefault="0032536F"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ALP(U/L)</w:t>
            </w:r>
          </w:p>
        </w:tc>
      </w:tr>
      <w:tr w:rsidR="0032536F" w:rsidRPr="00BD5CE4" w:rsidTr="0032536F">
        <w:trPr>
          <w:trHeight w:val="315"/>
        </w:trPr>
        <w:tc>
          <w:tcPr>
            <w:tcW w:w="1856" w:type="dxa"/>
            <w:tcBorders>
              <w:top w:val="nil"/>
              <w:left w:val="single" w:sz="8" w:space="0" w:color="auto"/>
              <w:bottom w:val="single" w:sz="8" w:space="0" w:color="auto"/>
              <w:right w:val="single" w:sz="8" w:space="0" w:color="auto"/>
            </w:tcBorders>
            <w:shd w:val="clear" w:color="auto" w:fill="auto"/>
            <w:noWrap/>
            <w:vAlign w:val="bottom"/>
            <w:hideMark/>
          </w:tcPr>
          <w:p w:rsidR="0032536F" w:rsidRPr="00BD5CE4" w:rsidRDefault="0032536F"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Infected(control)</w:t>
            </w:r>
          </w:p>
        </w:tc>
        <w:tc>
          <w:tcPr>
            <w:tcW w:w="1403" w:type="dxa"/>
            <w:tcBorders>
              <w:top w:val="nil"/>
              <w:left w:val="nil"/>
              <w:bottom w:val="single" w:sz="8" w:space="0" w:color="auto"/>
              <w:right w:val="single" w:sz="8" w:space="0" w:color="auto"/>
            </w:tcBorders>
            <w:shd w:val="clear" w:color="auto" w:fill="auto"/>
            <w:noWrap/>
            <w:vAlign w:val="bottom"/>
            <w:hideMark/>
          </w:tcPr>
          <w:p w:rsidR="0032536F" w:rsidRPr="00BD5CE4" w:rsidRDefault="0032536F" w:rsidP="00E1200A">
            <w:pPr>
              <w:pStyle w:val="NoSpacing"/>
              <w:jc w:val="both"/>
              <w:rPr>
                <w:rFonts w:ascii="Times New Roman" w:hAnsi="Times New Roman" w:cs="Times New Roman"/>
                <w:sz w:val="24"/>
                <w:szCs w:val="24"/>
              </w:rPr>
            </w:pPr>
          </w:p>
          <w:p w:rsidR="0032536F" w:rsidRPr="00BD5CE4" w:rsidRDefault="0032536F" w:rsidP="00E1200A">
            <w:pPr>
              <w:pStyle w:val="NoSpacing"/>
              <w:jc w:val="both"/>
              <w:rPr>
                <w:rFonts w:ascii="Times New Roman" w:hAnsi="Times New Roman" w:cs="Times New Roman"/>
                <w:sz w:val="24"/>
                <w:szCs w:val="24"/>
              </w:rPr>
            </w:pPr>
            <w:r w:rsidRPr="00BD5CE4">
              <w:rPr>
                <w:rFonts w:ascii="Times New Roman" w:hAnsi="Times New Roman" w:cs="Times New Roman"/>
                <w:sz w:val="24"/>
                <w:szCs w:val="24"/>
              </w:rPr>
              <w:t>96.35±0.55</w:t>
            </w:r>
            <w:r w:rsidRPr="00BD5CE4">
              <w:rPr>
                <w:rFonts w:ascii="Times New Roman" w:hAnsi="Times New Roman" w:cs="Times New Roman"/>
                <w:sz w:val="24"/>
                <w:szCs w:val="24"/>
                <w:vertAlign w:val="superscript"/>
              </w:rPr>
              <w:t>a</w:t>
            </w:r>
          </w:p>
        </w:tc>
        <w:tc>
          <w:tcPr>
            <w:tcW w:w="1247" w:type="dxa"/>
            <w:tcBorders>
              <w:top w:val="nil"/>
              <w:left w:val="nil"/>
              <w:bottom w:val="single" w:sz="8" w:space="0" w:color="auto"/>
              <w:right w:val="single" w:sz="8" w:space="0" w:color="auto"/>
            </w:tcBorders>
            <w:shd w:val="clear" w:color="auto" w:fill="auto"/>
            <w:noWrap/>
            <w:vAlign w:val="bottom"/>
            <w:hideMark/>
          </w:tcPr>
          <w:p w:rsidR="0032536F" w:rsidRPr="00BD5CE4" w:rsidRDefault="0032536F" w:rsidP="00E1200A">
            <w:pPr>
              <w:pStyle w:val="NoSpacing"/>
              <w:jc w:val="both"/>
              <w:rPr>
                <w:rFonts w:ascii="Times New Roman" w:hAnsi="Times New Roman" w:cs="Times New Roman"/>
                <w:sz w:val="24"/>
                <w:szCs w:val="24"/>
              </w:rPr>
            </w:pPr>
            <w:r w:rsidRPr="00BD5CE4">
              <w:rPr>
                <w:rFonts w:ascii="Times New Roman" w:hAnsi="Times New Roman" w:cs="Times New Roman"/>
                <w:sz w:val="24"/>
                <w:szCs w:val="24"/>
              </w:rPr>
              <w:t>4.86±0.09</w:t>
            </w:r>
            <w:r w:rsidRPr="00BD5CE4">
              <w:rPr>
                <w:rFonts w:ascii="Times New Roman" w:hAnsi="Times New Roman" w:cs="Times New Roman"/>
                <w:sz w:val="24"/>
                <w:szCs w:val="24"/>
                <w:vertAlign w:val="superscript"/>
              </w:rPr>
              <w:t>a</w:t>
            </w:r>
          </w:p>
        </w:tc>
        <w:tc>
          <w:tcPr>
            <w:tcW w:w="1682" w:type="dxa"/>
            <w:tcBorders>
              <w:top w:val="nil"/>
              <w:left w:val="nil"/>
              <w:bottom w:val="single" w:sz="8" w:space="0" w:color="auto"/>
              <w:right w:val="single" w:sz="8" w:space="0" w:color="auto"/>
            </w:tcBorders>
            <w:shd w:val="clear" w:color="auto" w:fill="auto"/>
            <w:noWrap/>
            <w:vAlign w:val="bottom"/>
            <w:hideMark/>
          </w:tcPr>
          <w:p w:rsidR="0032536F" w:rsidRPr="00BD5CE4" w:rsidRDefault="0032536F" w:rsidP="00E1200A">
            <w:pPr>
              <w:pStyle w:val="NoSpacing"/>
              <w:jc w:val="both"/>
              <w:rPr>
                <w:rFonts w:ascii="Times New Roman" w:hAnsi="Times New Roman" w:cs="Times New Roman"/>
                <w:sz w:val="24"/>
                <w:szCs w:val="24"/>
              </w:rPr>
            </w:pPr>
            <w:r w:rsidRPr="00BD5CE4">
              <w:rPr>
                <w:rFonts w:ascii="Times New Roman" w:hAnsi="Times New Roman" w:cs="Times New Roman"/>
                <w:sz w:val="24"/>
                <w:szCs w:val="24"/>
              </w:rPr>
              <w:t>150.88±2.34</w:t>
            </w:r>
            <w:r w:rsidRPr="00BD5CE4">
              <w:rPr>
                <w:rFonts w:ascii="Times New Roman" w:hAnsi="Times New Roman" w:cs="Times New Roman"/>
                <w:sz w:val="24"/>
                <w:szCs w:val="24"/>
                <w:vertAlign w:val="superscript"/>
              </w:rPr>
              <w:t>a</w:t>
            </w:r>
          </w:p>
        </w:tc>
        <w:tc>
          <w:tcPr>
            <w:tcW w:w="1218" w:type="dxa"/>
            <w:tcBorders>
              <w:top w:val="nil"/>
              <w:left w:val="nil"/>
              <w:bottom w:val="single" w:sz="8" w:space="0" w:color="auto"/>
              <w:right w:val="single" w:sz="8" w:space="0" w:color="auto"/>
            </w:tcBorders>
            <w:shd w:val="clear" w:color="auto" w:fill="auto"/>
            <w:noWrap/>
            <w:vAlign w:val="bottom"/>
            <w:hideMark/>
          </w:tcPr>
          <w:p w:rsidR="0032536F" w:rsidRPr="00BD5CE4" w:rsidRDefault="0032536F" w:rsidP="00E1200A">
            <w:pPr>
              <w:pStyle w:val="NoSpacing"/>
              <w:jc w:val="both"/>
              <w:rPr>
                <w:rFonts w:ascii="Times New Roman" w:hAnsi="Times New Roman" w:cs="Times New Roman"/>
                <w:sz w:val="24"/>
                <w:szCs w:val="24"/>
              </w:rPr>
            </w:pPr>
            <w:r w:rsidRPr="00BD5CE4">
              <w:rPr>
                <w:rFonts w:ascii="Times New Roman" w:hAnsi="Times New Roman" w:cs="Times New Roman"/>
                <w:sz w:val="24"/>
                <w:szCs w:val="24"/>
              </w:rPr>
              <w:t>36.56±0.47</w:t>
            </w:r>
            <w:r w:rsidR="00CF362B" w:rsidRPr="00BD5CE4">
              <w:rPr>
                <w:rFonts w:ascii="Times New Roman" w:hAnsi="Times New Roman" w:cs="Times New Roman"/>
                <w:sz w:val="24"/>
                <w:szCs w:val="24"/>
                <w:vertAlign w:val="superscript"/>
              </w:rPr>
              <w:t xml:space="preserve"> </w:t>
            </w:r>
          </w:p>
        </w:tc>
        <w:tc>
          <w:tcPr>
            <w:tcW w:w="1358" w:type="dxa"/>
            <w:tcBorders>
              <w:top w:val="nil"/>
              <w:left w:val="nil"/>
              <w:bottom w:val="single" w:sz="8" w:space="0" w:color="auto"/>
              <w:right w:val="single" w:sz="8" w:space="0" w:color="auto"/>
            </w:tcBorders>
            <w:shd w:val="clear" w:color="auto" w:fill="auto"/>
            <w:noWrap/>
            <w:vAlign w:val="bottom"/>
            <w:hideMark/>
          </w:tcPr>
          <w:p w:rsidR="0032536F" w:rsidRPr="00BD5CE4" w:rsidRDefault="0032536F" w:rsidP="00E1200A">
            <w:pPr>
              <w:pStyle w:val="NoSpacing"/>
              <w:jc w:val="both"/>
              <w:rPr>
                <w:rFonts w:ascii="Times New Roman" w:hAnsi="Times New Roman" w:cs="Times New Roman"/>
                <w:sz w:val="24"/>
                <w:szCs w:val="24"/>
              </w:rPr>
            </w:pPr>
            <w:r w:rsidRPr="00BD5CE4">
              <w:rPr>
                <w:rFonts w:ascii="Times New Roman" w:hAnsi="Times New Roman" w:cs="Times New Roman"/>
                <w:sz w:val="24"/>
                <w:szCs w:val="24"/>
              </w:rPr>
              <w:t>39.24±0.39</w:t>
            </w:r>
            <w:r w:rsidRPr="00BD5CE4">
              <w:rPr>
                <w:rFonts w:ascii="Times New Roman" w:hAnsi="Times New Roman" w:cs="Times New Roman"/>
                <w:sz w:val="24"/>
                <w:szCs w:val="24"/>
                <w:vertAlign w:val="superscript"/>
              </w:rPr>
              <w:t>a</w:t>
            </w:r>
          </w:p>
        </w:tc>
        <w:tc>
          <w:tcPr>
            <w:tcW w:w="1470" w:type="dxa"/>
            <w:tcBorders>
              <w:top w:val="nil"/>
              <w:left w:val="nil"/>
              <w:bottom w:val="single" w:sz="8" w:space="0" w:color="auto"/>
              <w:right w:val="single" w:sz="8" w:space="0" w:color="auto"/>
            </w:tcBorders>
            <w:shd w:val="clear" w:color="auto" w:fill="auto"/>
            <w:noWrap/>
            <w:vAlign w:val="bottom"/>
            <w:hideMark/>
          </w:tcPr>
          <w:p w:rsidR="0032536F" w:rsidRPr="00BD5CE4" w:rsidRDefault="0032536F" w:rsidP="00E1200A">
            <w:pPr>
              <w:pStyle w:val="NoSpacing"/>
              <w:jc w:val="both"/>
              <w:rPr>
                <w:rFonts w:ascii="Times New Roman" w:hAnsi="Times New Roman" w:cs="Times New Roman"/>
                <w:sz w:val="24"/>
                <w:szCs w:val="24"/>
              </w:rPr>
            </w:pPr>
            <w:r w:rsidRPr="00BD5CE4">
              <w:rPr>
                <w:rFonts w:ascii="Times New Roman" w:hAnsi="Times New Roman" w:cs="Times New Roman"/>
                <w:sz w:val="24"/>
                <w:szCs w:val="24"/>
              </w:rPr>
              <w:t>129.88±0.63</w:t>
            </w:r>
          </w:p>
        </w:tc>
      </w:tr>
      <w:tr w:rsidR="0032536F" w:rsidRPr="00BD5CE4" w:rsidTr="0032536F">
        <w:trPr>
          <w:trHeight w:val="315"/>
        </w:trPr>
        <w:tc>
          <w:tcPr>
            <w:tcW w:w="1856" w:type="dxa"/>
            <w:tcBorders>
              <w:top w:val="nil"/>
              <w:left w:val="single" w:sz="8" w:space="0" w:color="auto"/>
              <w:bottom w:val="single" w:sz="8" w:space="0" w:color="auto"/>
              <w:right w:val="single" w:sz="8" w:space="0" w:color="auto"/>
            </w:tcBorders>
            <w:shd w:val="clear" w:color="auto" w:fill="auto"/>
            <w:noWrap/>
            <w:vAlign w:val="bottom"/>
            <w:hideMark/>
          </w:tcPr>
          <w:p w:rsidR="0032536F" w:rsidRPr="00BD5CE4" w:rsidRDefault="0032536F"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 xml:space="preserve">Infected+20mg/kg </w:t>
            </w:r>
          </w:p>
        </w:tc>
        <w:tc>
          <w:tcPr>
            <w:tcW w:w="1403" w:type="dxa"/>
            <w:tcBorders>
              <w:top w:val="nil"/>
              <w:left w:val="nil"/>
              <w:bottom w:val="single" w:sz="8" w:space="0" w:color="auto"/>
              <w:right w:val="single" w:sz="8" w:space="0" w:color="auto"/>
            </w:tcBorders>
            <w:shd w:val="clear" w:color="auto" w:fill="auto"/>
            <w:noWrap/>
            <w:vAlign w:val="bottom"/>
            <w:hideMark/>
          </w:tcPr>
          <w:p w:rsidR="0032536F" w:rsidRPr="00BD5CE4" w:rsidRDefault="0032536F" w:rsidP="00E1200A">
            <w:pPr>
              <w:pStyle w:val="NoSpacing"/>
              <w:jc w:val="both"/>
              <w:rPr>
                <w:rFonts w:ascii="Times New Roman" w:hAnsi="Times New Roman" w:cs="Times New Roman"/>
                <w:sz w:val="24"/>
                <w:szCs w:val="24"/>
              </w:rPr>
            </w:pPr>
          </w:p>
          <w:p w:rsidR="0032536F" w:rsidRPr="00BD5CE4" w:rsidRDefault="0032536F" w:rsidP="00E1200A">
            <w:pPr>
              <w:pStyle w:val="NoSpacing"/>
              <w:jc w:val="both"/>
              <w:rPr>
                <w:rFonts w:ascii="Times New Roman" w:hAnsi="Times New Roman" w:cs="Times New Roman"/>
                <w:sz w:val="24"/>
                <w:szCs w:val="24"/>
              </w:rPr>
            </w:pPr>
            <w:r w:rsidRPr="00BD5CE4">
              <w:rPr>
                <w:rFonts w:ascii="Times New Roman" w:hAnsi="Times New Roman" w:cs="Times New Roman"/>
                <w:sz w:val="24"/>
                <w:szCs w:val="24"/>
              </w:rPr>
              <w:t>97.40±0.88</w:t>
            </w:r>
            <w:r w:rsidRPr="00BD5CE4">
              <w:rPr>
                <w:rFonts w:ascii="Times New Roman" w:hAnsi="Times New Roman" w:cs="Times New Roman"/>
                <w:sz w:val="24"/>
                <w:szCs w:val="24"/>
                <w:vertAlign w:val="superscript"/>
              </w:rPr>
              <w:t>a</w:t>
            </w:r>
          </w:p>
        </w:tc>
        <w:tc>
          <w:tcPr>
            <w:tcW w:w="1247" w:type="dxa"/>
            <w:tcBorders>
              <w:top w:val="nil"/>
              <w:left w:val="nil"/>
              <w:bottom w:val="single" w:sz="8" w:space="0" w:color="auto"/>
              <w:right w:val="single" w:sz="8" w:space="0" w:color="auto"/>
            </w:tcBorders>
            <w:shd w:val="clear" w:color="auto" w:fill="auto"/>
            <w:noWrap/>
            <w:vAlign w:val="bottom"/>
            <w:hideMark/>
          </w:tcPr>
          <w:p w:rsidR="0032536F" w:rsidRPr="00BD5CE4" w:rsidRDefault="0032536F" w:rsidP="00E1200A">
            <w:pPr>
              <w:pStyle w:val="NoSpacing"/>
              <w:jc w:val="both"/>
              <w:rPr>
                <w:rFonts w:ascii="Times New Roman" w:hAnsi="Times New Roman" w:cs="Times New Roman"/>
                <w:sz w:val="24"/>
                <w:szCs w:val="24"/>
              </w:rPr>
            </w:pPr>
            <w:r w:rsidRPr="00BD5CE4">
              <w:rPr>
                <w:rFonts w:ascii="Times New Roman" w:hAnsi="Times New Roman" w:cs="Times New Roman"/>
                <w:sz w:val="24"/>
                <w:szCs w:val="24"/>
              </w:rPr>
              <w:t>5.50±0.08</w:t>
            </w:r>
            <w:r w:rsidRPr="00BD5CE4">
              <w:rPr>
                <w:rFonts w:ascii="Times New Roman" w:hAnsi="Times New Roman" w:cs="Times New Roman"/>
                <w:sz w:val="24"/>
                <w:szCs w:val="24"/>
                <w:vertAlign w:val="superscript"/>
              </w:rPr>
              <w:t>b</w:t>
            </w:r>
          </w:p>
        </w:tc>
        <w:tc>
          <w:tcPr>
            <w:tcW w:w="1682" w:type="dxa"/>
            <w:tcBorders>
              <w:top w:val="nil"/>
              <w:left w:val="nil"/>
              <w:bottom w:val="single" w:sz="8" w:space="0" w:color="auto"/>
              <w:right w:val="single" w:sz="8" w:space="0" w:color="auto"/>
            </w:tcBorders>
            <w:shd w:val="clear" w:color="auto" w:fill="auto"/>
            <w:noWrap/>
            <w:vAlign w:val="bottom"/>
            <w:hideMark/>
          </w:tcPr>
          <w:p w:rsidR="0032536F" w:rsidRPr="00BD5CE4" w:rsidRDefault="0032536F" w:rsidP="00E1200A">
            <w:pPr>
              <w:pStyle w:val="NoSpacing"/>
              <w:jc w:val="both"/>
              <w:rPr>
                <w:rFonts w:ascii="Times New Roman" w:hAnsi="Times New Roman" w:cs="Times New Roman"/>
                <w:sz w:val="24"/>
                <w:szCs w:val="24"/>
              </w:rPr>
            </w:pPr>
            <w:r w:rsidRPr="00BD5CE4">
              <w:rPr>
                <w:rFonts w:ascii="Times New Roman" w:hAnsi="Times New Roman" w:cs="Times New Roman"/>
                <w:sz w:val="24"/>
                <w:szCs w:val="24"/>
              </w:rPr>
              <w:t>146.80±1.41</w:t>
            </w:r>
            <w:r w:rsidRPr="00BD5CE4">
              <w:rPr>
                <w:rFonts w:ascii="Times New Roman" w:hAnsi="Times New Roman" w:cs="Times New Roman"/>
                <w:sz w:val="24"/>
                <w:szCs w:val="24"/>
                <w:vertAlign w:val="superscript"/>
              </w:rPr>
              <w:t>b</w:t>
            </w:r>
          </w:p>
        </w:tc>
        <w:tc>
          <w:tcPr>
            <w:tcW w:w="1218" w:type="dxa"/>
            <w:tcBorders>
              <w:top w:val="nil"/>
              <w:left w:val="nil"/>
              <w:bottom w:val="single" w:sz="8" w:space="0" w:color="auto"/>
              <w:right w:val="single" w:sz="8" w:space="0" w:color="auto"/>
            </w:tcBorders>
            <w:shd w:val="clear" w:color="auto" w:fill="auto"/>
            <w:noWrap/>
            <w:vAlign w:val="bottom"/>
            <w:hideMark/>
          </w:tcPr>
          <w:p w:rsidR="0032536F" w:rsidRPr="00BD5CE4" w:rsidRDefault="0032536F" w:rsidP="00E1200A">
            <w:pPr>
              <w:pStyle w:val="NoSpacing"/>
              <w:jc w:val="both"/>
              <w:rPr>
                <w:rFonts w:ascii="Times New Roman" w:hAnsi="Times New Roman" w:cs="Times New Roman"/>
                <w:sz w:val="24"/>
                <w:szCs w:val="24"/>
              </w:rPr>
            </w:pPr>
            <w:r w:rsidRPr="00BD5CE4">
              <w:rPr>
                <w:rFonts w:ascii="Times New Roman" w:hAnsi="Times New Roman" w:cs="Times New Roman"/>
                <w:sz w:val="24"/>
                <w:szCs w:val="24"/>
              </w:rPr>
              <w:t>41.50±1.44</w:t>
            </w:r>
          </w:p>
        </w:tc>
        <w:tc>
          <w:tcPr>
            <w:tcW w:w="1358" w:type="dxa"/>
            <w:tcBorders>
              <w:top w:val="nil"/>
              <w:left w:val="nil"/>
              <w:bottom w:val="single" w:sz="8" w:space="0" w:color="auto"/>
              <w:right w:val="single" w:sz="8" w:space="0" w:color="auto"/>
            </w:tcBorders>
            <w:shd w:val="clear" w:color="auto" w:fill="auto"/>
            <w:noWrap/>
            <w:vAlign w:val="bottom"/>
            <w:hideMark/>
          </w:tcPr>
          <w:p w:rsidR="0032536F" w:rsidRPr="00BD5CE4" w:rsidRDefault="0032536F" w:rsidP="00E1200A">
            <w:pPr>
              <w:pStyle w:val="NoSpacing"/>
              <w:jc w:val="both"/>
              <w:rPr>
                <w:rFonts w:ascii="Times New Roman" w:hAnsi="Times New Roman" w:cs="Times New Roman"/>
                <w:sz w:val="24"/>
                <w:szCs w:val="24"/>
              </w:rPr>
            </w:pPr>
            <w:r w:rsidRPr="00BD5CE4">
              <w:rPr>
                <w:rFonts w:ascii="Times New Roman" w:hAnsi="Times New Roman" w:cs="Times New Roman"/>
                <w:sz w:val="24"/>
                <w:szCs w:val="24"/>
              </w:rPr>
              <w:t>38.50±1.45</w:t>
            </w:r>
            <w:r w:rsidRPr="00BD5CE4">
              <w:rPr>
                <w:rFonts w:ascii="Times New Roman" w:hAnsi="Times New Roman" w:cs="Times New Roman"/>
                <w:sz w:val="24"/>
                <w:szCs w:val="24"/>
                <w:vertAlign w:val="superscript"/>
              </w:rPr>
              <w:t>b</w:t>
            </w:r>
          </w:p>
        </w:tc>
        <w:tc>
          <w:tcPr>
            <w:tcW w:w="1470" w:type="dxa"/>
            <w:tcBorders>
              <w:top w:val="nil"/>
              <w:left w:val="nil"/>
              <w:bottom w:val="single" w:sz="8" w:space="0" w:color="auto"/>
              <w:right w:val="single" w:sz="8" w:space="0" w:color="auto"/>
            </w:tcBorders>
            <w:shd w:val="clear" w:color="auto" w:fill="auto"/>
            <w:noWrap/>
            <w:vAlign w:val="bottom"/>
            <w:hideMark/>
          </w:tcPr>
          <w:p w:rsidR="0032536F" w:rsidRPr="00BD5CE4" w:rsidRDefault="0032536F" w:rsidP="00E1200A">
            <w:pPr>
              <w:pStyle w:val="NoSpacing"/>
              <w:jc w:val="both"/>
              <w:rPr>
                <w:rFonts w:ascii="Times New Roman" w:hAnsi="Times New Roman" w:cs="Times New Roman"/>
                <w:sz w:val="24"/>
                <w:szCs w:val="24"/>
              </w:rPr>
            </w:pPr>
            <w:r w:rsidRPr="00BD5CE4">
              <w:rPr>
                <w:rFonts w:ascii="Times New Roman" w:hAnsi="Times New Roman" w:cs="Times New Roman"/>
                <w:sz w:val="24"/>
                <w:szCs w:val="24"/>
              </w:rPr>
              <w:t>128.50±0.57</w:t>
            </w:r>
          </w:p>
        </w:tc>
      </w:tr>
      <w:tr w:rsidR="0032536F" w:rsidRPr="00BD5CE4" w:rsidTr="0032536F">
        <w:trPr>
          <w:trHeight w:val="315"/>
        </w:trPr>
        <w:tc>
          <w:tcPr>
            <w:tcW w:w="1856" w:type="dxa"/>
            <w:tcBorders>
              <w:top w:val="nil"/>
              <w:left w:val="single" w:sz="8" w:space="0" w:color="auto"/>
              <w:bottom w:val="single" w:sz="8" w:space="0" w:color="auto"/>
              <w:right w:val="single" w:sz="8" w:space="0" w:color="auto"/>
            </w:tcBorders>
            <w:shd w:val="clear" w:color="auto" w:fill="auto"/>
            <w:noWrap/>
            <w:vAlign w:val="bottom"/>
            <w:hideMark/>
          </w:tcPr>
          <w:p w:rsidR="0032536F" w:rsidRPr="00BD5CE4" w:rsidRDefault="0032536F"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 xml:space="preserve">Infected+30mg/kg </w:t>
            </w:r>
          </w:p>
        </w:tc>
        <w:tc>
          <w:tcPr>
            <w:tcW w:w="1403" w:type="dxa"/>
            <w:tcBorders>
              <w:top w:val="nil"/>
              <w:left w:val="nil"/>
              <w:bottom w:val="single" w:sz="8" w:space="0" w:color="auto"/>
              <w:right w:val="single" w:sz="8" w:space="0" w:color="auto"/>
            </w:tcBorders>
            <w:shd w:val="clear" w:color="auto" w:fill="auto"/>
            <w:noWrap/>
            <w:vAlign w:val="bottom"/>
            <w:hideMark/>
          </w:tcPr>
          <w:p w:rsidR="0032536F" w:rsidRPr="00BD5CE4" w:rsidRDefault="0032536F" w:rsidP="00E1200A">
            <w:pPr>
              <w:pStyle w:val="NoSpacing"/>
              <w:jc w:val="both"/>
              <w:rPr>
                <w:rFonts w:ascii="Times New Roman" w:hAnsi="Times New Roman" w:cs="Times New Roman"/>
                <w:sz w:val="24"/>
                <w:szCs w:val="24"/>
              </w:rPr>
            </w:pPr>
          </w:p>
          <w:p w:rsidR="0032536F" w:rsidRPr="00BD5CE4" w:rsidRDefault="0032536F" w:rsidP="00E1200A">
            <w:pPr>
              <w:pStyle w:val="NoSpacing"/>
              <w:jc w:val="both"/>
              <w:rPr>
                <w:rFonts w:ascii="Times New Roman" w:hAnsi="Times New Roman" w:cs="Times New Roman"/>
                <w:sz w:val="24"/>
                <w:szCs w:val="24"/>
              </w:rPr>
            </w:pPr>
            <w:r w:rsidRPr="00BD5CE4">
              <w:rPr>
                <w:rFonts w:ascii="Times New Roman" w:hAnsi="Times New Roman" w:cs="Times New Roman"/>
                <w:sz w:val="24"/>
                <w:szCs w:val="24"/>
              </w:rPr>
              <w:t>103.62±1.27</w:t>
            </w:r>
            <w:r w:rsidRPr="00BD5CE4">
              <w:rPr>
                <w:rFonts w:ascii="Times New Roman" w:hAnsi="Times New Roman" w:cs="Times New Roman"/>
                <w:sz w:val="24"/>
                <w:szCs w:val="24"/>
                <w:vertAlign w:val="superscript"/>
              </w:rPr>
              <w:t>b</w:t>
            </w:r>
          </w:p>
        </w:tc>
        <w:tc>
          <w:tcPr>
            <w:tcW w:w="1247" w:type="dxa"/>
            <w:tcBorders>
              <w:top w:val="nil"/>
              <w:left w:val="nil"/>
              <w:bottom w:val="single" w:sz="8" w:space="0" w:color="auto"/>
              <w:right w:val="single" w:sz="8" w:space="0" w:color="auto"/>
            </w:tcBorders>
            <w:shd w:val="clear" w:color="auto" w:fill="auto"/>
            <w:noWrap/>
            <w:vAlign w:val="bottom"/>
            <w:hideMark/>
          </w:tcPr>
          <w:p w:rsidR="0032536F" w:rsidRPr="00BD5CE4" w:rsidRDefault="0032536F" w:rsidP="00E1200A">
            <w:pPr>
              <w:pStyle w:val="NoSpacing"/>
              <w:jc w:val="both"/>
              <w:rPr>
                <w:rFonts w:ascii="Times New Roman" w:hAnsi="Times New Roman" w:cs="Times New Roman"/>
                <w:sz w:val="24"/>
                <w:szCs w:val="24"/>
              </w:rPr>
            </w:pPr>
            <w:r w:rsidRPr="00BD5CE4">
              <w:rPr>
                <w:rFonts w:ascii="Times New Roman" w:hAnsi="Times New Roman" w:cs="Times New Roman"/>
                <w:sz w:val="24"/>
                <w:szCs w:val="24"/>
              </w:rPr>
              <w:t>5.00±0.15</w:t>
            </w:r>
            <w:r w:rsidRPr="00BD5CE4">
              <w:rPr>
                <w:rFonts w:ascii="Times New Roman" w:hAnsi="Times New Roman" w:cs="Times New Roman"/>
                <w:sz w:val="24"/>
                <w:szCs w:val="24"/>
                <w:vertAlign w:val="superscript"/>
              </w:rPr>
              <w:t>ab</w:t>
            </w:r>
          </w:p>
        </w:tc>
        <w:tc>
          <w:tcPr>
            <w:tcW w:w="1682" w:type="dxa"/>
            <w:tcBorders>
              <w:top w:val="nil"/>
              <w:left w:val="nil"/>
              <w:bottom w:val="single" w:sz="8" w:space="0" w:color="auto"/>
              <w:right w:val="single" w:sz="8" w:space="0" w:color="auto"/>
            </w:tcBorders>
            <w:shd w:val="clear" w:color="auto" w:fill="auto"/>
            <w:noWrap/>
            <w:vAlign w:val="bottom"/>
            <w:hideMark/>
          </w:tcPr>
          <w:p w:rsidR="0032536F" w:rsidRPr="00BD5CE4" w:rsidRDefault="0032536F" w:rsidP="00E1200A">
            <w:pPr>
              <w:pStyle w:val="NoSpacing"/>
              <w:jc w:val="both"/>
              <w:rPr>
                <w:rFonts w:ascii="Times New Roman" w:hAnsi="Times New Roman" w:cs="Times New Roman"/>
                <w:sz w:val="24"/>
                <w:szCs w:val="24"/>
              </w:rPr>
            </w:pPr>
            <w:r w:rsidRPr="00BD5CE4">
              <w:rPr>
                <w:rFonts w:ascii="Times New Roman" w:hAnsi="Times New Roman" w:cs="Times New Roman"/>
                <w:sz w:val="24"/>
                <w:szCs w:val="24"/>
              </w:rPr>
              <w:t>144.32±1.93</w:t>
            </w:r>
            <w:r w:rsidRPr="00BD5CE4">
              <w:rPr>
                <w:rFonts w:ascii="Times New Roman" w:hAnsi="Times New Roman" w:cs="Times New Roman"/>
                <w:sz w:val="24"/>
                <w:szCs w:val="24"/>
                <w:vertAlign w:val="superscript"/>
              </w:rPr>
              <w:t>b</w:t>
            </w:r>
          </w:p>
        </w:tc>
        <w:tc>
          <w:tcPr>
            <w:tcW w:w="1218" w:type="dxa"/>
            <w:tcBorders>
              <w:top w:val="nil"/>
              <w:left w:val="nil"/>
              <w:bottom w:val="single" w:sz="8" w:space="0" w:color="auto"/>
              <w:right w:val="single" w:sz="8" w:space="0" w:color="auto"/>
            </w:tcBorders>
            <w:shd w:val="clear" w:color="auto" w:fill="auto"/>
            <w:noWrap/>
            <w:vAlign w:val="bottom"/>
            <w:hideMark/>
          </w:tcPr>
          <w:p w:rsidR="0032536F" w:rsidRPr="00BD5CE4" w:rsidRDefault="0032536F" w:rsidP="00E1200A">
            <w:pPr>
              <w:pStyle w:val="NoSpacing"/>
              <w:jc w:val="both"/>
              <w:rPr>
                <w:rFonts w:ascii="Times New Roman" w:hAnsi="Times New Roman" w:cs="Times New Roman"/>
                <w:sz w:val="24"/>
                <w:szCs w:val="24"/>
              </w:rPr>
            </w:pPr>
            <w:r w:rsidRPr="00BD5CE4">
              <w:rPr>
                <w:rFonts w:ascii="Times New Roman" w:hAnsi="Times New Roman" w:cs="Times New Roman"/>
                <w:sz w:val="24"/>
                <w:szCs w:val="24"/>
              </w:rPr>
              <w:t>37.64±1.44</w:t>
            </w:r>
          </w:p>
        </w:tc>
        <w:tc>
          <w:tcPr>
            <w:tcW w:w="1358" w:type="dxa"/>
            <w:tcBorders>
              <w:top w:val="nil"/>
              <w:left w:val="nil"/>
              <w:bottom w:val="single" w:sz="8" w:space="0" w:color="auto"/>
              <w:right w:val="single" w:sz="8" w:space="0" w:color="auto"/>
            </w:tcBorders>
            <w:shd w:val="clear" w:color="auto" w:fill="auto"/>
            <w:noWrap/>
            <w:vAlign w:val="bottom"/>
            <w:hideMark/>
          </w:tcPr>
          <w:p w:rsidR="0032536F" w:rsidRPr="00BD5CE4" w:rsidRDefault="0032536F" w:rsidP="00E1200A">
            <w:pPr>
              <w:pStyle w:val="NoSpacing"/>
              <w:jc w:val="both"/>
              <w:rPr>
                <w:rFonts w:ascii="Times New Roman" w:hAnsi="Times New Roman" w:cs="Times New Roman"/>
                <w:sz w:val="24"/>
                <w:szCs w:val="24"/>
              </w:rPr>
            </w:pPr>
            <w:r w:rsidRPr="00BD5CE4">
              <w:rPr>
                <w:rFonts w:ascii="Times New Roman" w:hAnsi="Times New Roman" w:cs="Times New Roman"/>
                <w:sz w:val="24"/>
                <w:szCs w:val="24"/>
              </w:rPr>
              <w:t>39.48±0.49</w:t>
            </w:r>
            <w:r w:rsidRPr="00BD5CE4">
              <w:rPr>
                <w:rFonts w:ascii="Times New Roman" w:hAnsi="Times New Roman" w:cs="Times New Roman"/>
                <w:sz w:val="24"/>
                <w:szCs w:val="24"/>
                <w:vertAlign w:val="superscript"/>
              </w:rPr>
              <w:t>ab</w:t>
            </w:r>
          </w:p>
        </w:tc>
        <w:tc>
          <w:tcPr>
            <w:tcW w:w="1470" w:type="dxa"/>
            <w:tcBorders>
              <w:top w:val="nil"/>
              <w:left w:val="nil"/>
              <w:bottom w:val="single" w:sz="8" w:space="0" w:color="auto"/>
              <w:right w:val="single" w:sz="8" w:space="0" w:color="auto"/>
            </w:tcBorders>
            <w:shd w:val="clear" w:color="auto" w:fill="auto"/>
            <w:noWrap/>
            <w:vAlign w:val="bottom"/>
            <w:hideMark/>
          </w:tcPr>
          <w:p w:rsidR="0032536F" w:rsidRPr="00BD5CE4" w:rsidRDefault="0032536F" w:rsidP="00E1200A">
            <w:pPr>
              <w:pStyle w:val="NoSpacing"/>
              <w:jc w:val="both"/>
              <w:rPr>
                <w:rFonts w:ascii="Times New Roman" w:hAnsi="Times New Roman" w:cs="Times New Roman"/>
                <w:sz w:val="24"/>
                <w:szCs w:val="24"/>
              </w:rPr>
            </w:pPr>
            <w:r w:rsidRPr="00BD5CE4">
              <w:rPr>
                <w:rFonts w:ascii="Times New Roman" w:hAnsi="Times New Roman" w:cs="Times New Roman"/>
                <w:sz w:val="24"/>
                <w:szCs w:val="24"/>
              </w:rPr>
              <w:t>128.44±0.82</w:t>
            </w:r>
          </w:p>
        </w:tc>
      </w:tr>
      <w:tr w:rsidR="0032536F" w:rsidRPr="00BD5CE4" w:rsidTr="0032536F">
        <w:trPr>
          <w:trHeight w:val="315"/>
        </w:trPr>
        <w:tc>
          <w:tcPr>
            <w:tcW w:w="1856" w:type="dxa"/>
            <w:tcBorders>
              <w:top w:val="nil"/>
              <w:left w:val="single" w:sz="8" w:space="0" w:color="auto"/>
              <w:bottom w:val="single" w:sz="8" w:space="0" w:color="auto"/>
              <w:right w:val="single" w:sz="8" w:space="0" w:color="auto"/>
            </w:tcBorders>
            <w:shd w:val="clear" w:color="auto" w:fill="auto"/>
            <w:noWrap/>
            <w:vAlign w:val="bottom"/>
            <w:hideMark/>
          </w:tcPr>
          <w:p w:rsidR="0032536F" w:rsidRPr="00BD5CE4" w:rsidRDefault="0032536F"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 xml:space="preserve">Infected+50mg/kg </w:t>
            </w:r>
          </w:p>
        </w:tc>
        <w:tc>
          <w:tcPr>
            <w:tcW w:w="1403" w:type="dxa"/>
            <w:tcBorders>
              <w:top w:val="nil"/>
              <w:left w:val="nil"/>
              <w:bottom w:val="single" w:sz="8" w:space="0" w:color="auto"/>
              <w:right w:val="single" w:sz="8" w:space="0" w:color="auto"/>
            </w:tcBorders>
            <w:shd w:val="clear" w:color="auto" w:fill="auto"/>
            <w:noWrap/>
            <w:vAlign w:val="bottom"/>
            <w:hideMark/>
          </w:tcPr>
          <w:p w:rsidR="0032536F" w:rsidRPr="00BD5CE4" w:rsidRDefault="0032536F" w:rsidP="00E1200A">
            <w:pPr>
              <w:pStyle w:val="NoSpacing"/>
              <w:jc w:val="both"/>
              <w:rPr>
                <w:rFonts w:ascii="Times New Roman" w:hAnsi="Times New Roman" w:cs="Times New Roman"/>
                <w:sz w:val="24"/>
                <w:szCs w:val="24"/>
              </w:rPr>
            </w:pPr>
          </w:p>
          <w:p w:rsidR="0032536F" w:rsidRPr="00BD5CE4" w:rsidRDefault="0032536F" w:rsidP="00E1200A">
            <w:pPr>
              <w:pStyle w:val="NoSpacing"/>
              <w:jc w:val="both"/>
              <w:rPr>
                <w:rFonts w:ascii="Times New Roman" w:hAnsi="Times New Roman" w:cs="Times New Roman"/>
                <w:sz w:val="24"/>
                <w:szCs w:val="24"/>
              </w:rPr>
            </w:pPr>
            <w:r w:rsidRPr="00BD5CE4">
              <w:rPr>
                <w:rFonts w:ascii="Times New Roman" w:hAnsi="Times New Roman" w:cs="Times New Roman"/>
                <w:sz w:val="24"/>
                <w:szCs w:val="24"/>
              </w:rPr>
              <w:t>103.64±0.97</w:t>
            </w:r>
            <w:r w:rsidRPr="00BD5CE4">
              <w:rPr>
                <w:rFonts w:ascii="Times New Roman" w:hAnsi="Times New Roman" w:cs="Times New Roman"/>
                <w:sz w:val="24"/>
                <w:szCs w:val="24"/>
                <w:vertAlign w:val="superscript"/>
              </w:rPr>
              <w:t>b</w:t>
            </w:r>
          </w:p>
        </w:tc>
        <w:tc>
          <w:tcPr>
            <w:tcW w:w="1247" w:type="dxa"/>
            <w:tcBorders>
              <w:top w:val="nil"/>
              <w:left w:val="nil"/>
              <w:bottom w:val="single" w:sz="8" w:space="0" w:color="auto"/>
              <w:right w:val="single" w:sz="8" w:space="0" w:color="auto"/>
            </w:tcBorders>
            <w:shd w:val="clear" w:color="auto" w:fill="auto"/>
            <w:noWrap/>
            <w:vAlign w:val="bottom"/>
            <w:hideMark/>
          </w:tcPr>
          <w:p w:rsidR="0032536F" w:rsidRPr="00BD5CE4" w:rsidRDefault="0032536F" w:rsidP="00E1200A">
            <w:pPr>
              <w:pStyle w:val="NoSpacing"/>
              <w:jc w:val="both"/>
              <w:rPr>
                <w:rFonts w:ascii="Times New Roman" w:hAnsi="Times New Roman" w:cs="Times New Roman"/>
                <w:sz w:val="24"/>
                <w:szCs w:val="24"/>
              </w:rPr>
            </w:pPr>
            <w:r w:rsidRPr="00BD5CE4">
              <w:rPr>
                <w:rFonts w:ascii="Times New Roman" w:hAnsi="Times New Roman" w:cs="Times New Roman"/>
                <w:sz w:val="24"/>
                <w:szCs w:val="24"/>
              </w:rPr>
              <w:t>4.74±0.28</w:t>
            </w:r>
            <w:r w:rsidRPr="00BD5CE4">
              <w:rPr>
                <w:rFonts w:ascii="Times New Roman" w:hAnsi="Times New Roman" w:cs="Times New Roman"/>
                <w:sz w:val="24"/>
                <w:szCs w:val="24"/>
                <w:vertAlign w:val="superscript"/>
              </w:rPr>
              <w:t>a</w:t>
            </w:r>
          </w:p>
        </w:tc>
        <w:tc>
          <w:tcPr>
            <w:tcW w:w="1682" w:type="dxa"/>
            <w:tcBorders>
              <w:top w:val="nil"/>
              <w:left w:val="nil"/>
              <w:bottom w:val="single" w:sz="8" w:space="0" w:color="auto"/>
              <w:right w:val="single" w:sz="8" w:space="0" w:color="auto"/>
            </w:tcBorders>
            <w:shd w:val="clear" w:color="auto" w:fill="auto"/>
            <w:noWrap/>
            <w:vAlign w:val="bottom"/>
            <w:hideMark/>
          </w:tcPr>
          <w:p w:rsidR="0032536F" w:rsidRPr="00BD5CE4" w:rsidRDefault="0032536F" w:rsidP="00E1200A">
            <w:pPr>
              <w:pStyle w:val="NoSpacing"/>
              <w:jc w:val="both"/>
              <w:rPr>
                <w:rFonts w:ascii="Times New Roman" w:hAnsi="Times New Roman" w:cs="Times New Roman"/>
                <w:sz w:val="24"/>
                <w:szCs w:val="24"/>
              </w:rPr>
            </w:pPr>
            <w:r w:rsidRPr="00BD5CE4">
              <w:rPr>
                <w:rFonts w:ascii="Times New Roman" w:hAnsi="Times New Roman" w:cs="Times New Roman"/>
                <w:sz w:val="24"/>
                <w:szCs w:val="24"/>
              </w:rPr>
              <w:t>141.88±1.80</w:t>
            </w:r>
            <w:r w:rsidRPr="00BD5CE4">
              <w:rPr>
                <w:rFonts w:ascii="Times New Roman" w:hAnsi="Times New Roman" w:cs="Times New Roman"/>
                <w:sz w:val="24"/>
                <w:szCs w:val="24"/>
                <w:vertAlign w:val="superscript"/>
              </w:rPr>
              <w:t>b</w:t>
            </w:r>
          </w:p>
        </w:tc>
        <w:tc>
          <w:tcPr>
            <w:tcW w:w="1218" w:type="dxa"/>
            <w:tcBorders>
              <w:top w:val="nil"/>
              <w:left w:val="nil"/>
              <w:bottom w:val="single" w:sz="8" w:space="0" w:color="auto"/>
              <w:right w:val="single" w:sz="8" w:space="0" w:color="auto"/>
            </w:tcBorders>
            <w:shd w:val="clear" w:color="auto" w:fill="auto"/>
            <w:noWrap/>
            <w:vAlign w:val="bottom"/>
            <w:hideMark/>
          </w:tcPr>
          <w:p w:rsidR="0032536F" w:rsidRPr="00BD5CE4" w:rsidRDefault="0032536F" w:rsidP="00E1200A">
            <w:pPr>
              <w:pStyle w:val="NoSpacing"/>
              <w:jc w:val="both"/>
              <w:rPr>
                <w:rFonts w:ascii="Times New Roman" w:hAnsi="Times New Roman" w:cs="Times New Roman"/>
                <w:sz w:val="24"/>
                <w:szCs w:val="24"/>
              </w:rPr>
            </w:pPr>
            <w:r w:rsidRPr="00BD5CE4">
              <w:rPr>
                <w:rFonts w:ascii="Times New Roman" w:hAnsi="Times New Roman" w:cs="Times New Roman"/>
                <w:sz w:val="24"/>
                <w:szCs w:val="24"/>
              </w:rPr>
              <w:t>36.20±0.91</w:t>
            </w:r>
          </w:p>
        </w:tc>
        <w:tc>
          <w:tcPr>
            <w:tcW w:w="1358" w:type="dxa"/>
            <w:tcBorders>
              <w:top w:val="nil"/>
              <w:left w:val="nil"/>
              <w:bottom w:val="single" w:sz="8" w:space="0" w:color="auto"/>
              <w:right w:val="single" w:sz="8" w:space="0" w:color="auto"/>
            </w:tcBorders>
            <w:shd w:val="clear" w:color="auto" w:fill="auto"/>
            <w:noWrap/>
            <w:vAlign w:val="bottom"/>
            <w:hideMark/>
          </w:tcPr>
          <w:p w:rsidR="0032536F" w:rsidRPr="00BD5CE4" w:rsidRDefault="0032536F" w:rsidP="00E1200A">
            <w:pPr>
              <w:pStyle w:val="NoSpacing"/>
              <w:jc w:val="both"/>
              <w:rPr>
                <w:rFonts w:ascii="Times New Roman" w:hAnsi="Times New Roman" w:cs="Times New Roman"/>
                <w:sz w:val="24"/>
                <w:szCs w:val="24"/>
              </w:rPr>
            </w:pPr>
            <w:r w:rsidRPr="00BD5CE4">
              <w:rPr>
                <w:rFonts w:ascii="Times New Roman" w:hAnsi="Times New Roman" w:cs="Times New Roman"/>
                <w:sz w:val="24"/>
                <w:szCs w:val="24"/>
              </w:rPr>
              <w:t>42.58±1.51</w:t>
            </w:r>
            <w:r w:rsidRPr="00BD5CE4">
              <w:rPr>
                <w:rFonts w:ascii="Times New Roman" w:hAnsi="Times New Roman" w:cs="Times New Roman"/>
                <w:sz w:val="24"/>
                <w:szCs w:val="24"/>
                <w:vertAlign w:val="superscript"/>
              </w:rPr>
              <w:t>ab</w:t>
            </w:r>
          </w:p>
        </w:tc>
        <w:tc>
          <w:tcPr>
            <w:tcW w:w="1470" w:type="dxa"/>
            <w:tcBorders>
              <w:top w:val="nil"/>
              <w:left w:val="nil"/>
              <w:bottom w:val="single" w:sz="8" w:space="0" w:color="auto"/>
              <w:right w:val="single" w:sz="8" w:space="0" w:color="auto"/>
            </w:tcBorders>
            <w:shd w:val="clear" w:color="auto" w:fill="auto"/>
            <w:noWrap/>
            <w:vAlign w:val="bottom"/>
            <w:hideMark/>
          </w:tcPr>
          <w:p w:rsidR="0032536F" w:rsidRPr="00BD5CE4" w:rsidRDefault="0032536F" w:rsidP="00E1200A">
            <w:pPr>
              <w:pStyle w:val="NoSpacing"/>
              <w:jc w:val="both"/>
              <w:rPr>
                <w:rFonts w:ascii="Times New Roman" w:hAnsi="Times New Roman" w:cs="Times New Roman"/>
                <w:sz w:val="24"/>
                <w:szCs w:val="24"/>
              </w:rPr>
            </w:pPr>
            <w:r w:rsidRPr="00BD5CE4">
              <w:rPr>
                <w:rFonts w:ascii="Times New Roman" w:hAnsi="Times New Roman" w:cs="Times New Roman"/>
                <w:sz w:val="24"/>
                <w:szCs w:val="24"/>
              </w:rPr>
              <w:t>128.00±1.11</w:t>
            </w:r>
          </w:p>
        </w:tc>
      </w:tr>
    </w:tbl>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r w:rsidRPr="00BD5CE4">
        <w:rPr>
          <w:rFonts w:ascii="Times New Roman" w:hAnsi="Times New Roman" w:cs="Times New Roman"/>
          <w:sz w:val="24"/>
          <w:szCs w:val="24"/>
        </w:rPr>
        <w:t>Values are Mean ± SEM</w:t>
      </w:r>
    </w:p>
    <w:p w:rsidR="0032536F" w:rsidRPr="00BD5CE4" w:rsidRDefault="0032536F" w:rsidP="00E1200A">
      <w:pPr>
        <w:jc w:val="both"/>
        <w:rPr>
          <w:rFonts w:ascii="Times New Roman" w:hAnsi="Times New Roman" w:cs="Times New Roman"/>
          <w:sz w:val="24"/>
          <w:szCs w:val="24"/>
        </w:rPr>
      </w:pPr>
      <w:r w:rsidRPr="00BD5CE4">
        <w:rPr>
          <w:rFonts w:ascii="Times New Roman" w:hAnsi="Times New Roman" w:cs="Times New Roman"/>
          <w:sz w:val="24"/>
          <w:szCs w:val="24"/>
        </w:rPr>
        <w:t>Values with different superscript letters within the same column are significantly different (P &lt; 0.05)</w:t>
      </w: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r w:rsidRPr="00BD5CE4">
        <w:rPr>
          <w:rFonts w:ascii="Times New Roman" w:hAnsi="Times New Roman" w:cs="Times New Roman"/>
          <w:noProof/>
          <w:sz w:val="24"/>
          <w:szCs w:val="24"/>
        </w:rPr>
        <w:drawing>
          <wp:inline distT="0" distB="0" distL="0" distR="0" wp14:anchorId="28CF8E20" wp14:editId="3D8C2656">
            <wp:extent cx="6564702" cy="6038491"/>
            <wp:effectExtent l="0" t="0" r="7620" b="635"/>
            <wp:docPr id="3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2536F" w:rsidRPr="00BD5CE4" w:rsidRDefault="00C265E2" w:rsidP="00E1200A">
      <w:pPr>
        <w:jc w:val="both"/>
        <w:rPr>
          <w:rFonts w:ascii="Times New Roman" w:hAnsi="Times New Roman" w:cs="Times New Roman"/>
          <w:sz w:val="24"/>
          <w:szCs w:val="24"/>
        </w:rPr>
      </w:pPr>
      <w:r w:rsidRPr="00BD5CE4">
        <w:rPr>
          <w:rFonts w:ascii="Times New Roman" w:hAnsi="Times New Roman" w:cs="Times New Roman"/>
          <w:b/>
          <w:bCs/>
          <w:sz w:val="24"/>
          <w:szCs w:val="24"/>
        </w:rPr>
        <w:t>Fig 5</w:t>
      </w:r>
      <w:r w:rsidR="0032536F" w:rsidRPr="00BD5CE4">
        <w:rPr>
          <w:rFonts w:ascii="Times New Roman" w:hAnsi="Times New Roman" w:cs="Times New Roman"/>
          <w:b/>
          <w:bCs/>
          <w:sz w:val="24"/>
          <w:szCs w:val="24"/>
        </w:rPr>
        <w:t>:Parasiteamia levelof the experimental  mice  infected with</w:t>
      </w:r>
      <w:r w:rsidR="0032536F" w:rsidRPr="00BD5CE4">
        <w:rPr>
          <w:rFonts w:ascii="Times New Roman" w:hAnsi="Times New Roman" w:cs="Times New Roman"/>
          <w:b/>
          <w:bCs/>
          <w:i/>
          <w:iCs/>
          <w:sz w:val="24"/>
          <w:szCs w:val="24"/>
        </w:rPr>
        <w:t xml:space="preserve"> P.berghei</w:t>
      </w:r>
      <w:r w:rsidR="0032536F" w:rsidRPr="00BD5CE4">
        <w:rPr>
          <w:rFonts w:ascii="Times New Roman" w:hAnsi="Times New Roman" w:cs="Times New Roman"/>
          <w:b/>
          <w:bCs/>
          <w:sz w:val="24"/>
          <w:szCs w:val="24"/>
        </w:rPr>
        <w:t xml:space="preserve"> and treated with crude CPI from </w:t>
      </w:r>
      <w:r w:rsidR="0032536F" w:rsidRPr="00BD5CE4">
        <w:rPr>
          <w:rFonts w:ascii="Times New Roman" w:hAnsi="Times New Roman" w:cs="Times New Roman"/>
          <w:b/>
          <w:bCs/>
          <w:i/>
          <w:iCs/>
          <w:sz w:val="24"/>
          <w:szCs w:val="24"/>
        </w:rPr>
        <w:t>Moringa oleifera seeds</w:t>
      </w:r>
      <w:r w:rsidR="0032536F" w:rsidRPr="00BD5CE4">
        <w:rPr>
          <w:rFonts w:ascii="Times New Roman" w:hAnsi="Times New Roman" w:cs="Times New Roman"/>
          <w:b/>
          <w:bCs/>
          <w:sz w:val="24"/>
          <w:szCs w:val="24"/>
        </w:rPr>
        <w:t xml:space="preserve"> </w:t>
      </w:r>
    </w:p>
    <w:p w:rsidR="0032536F" w:rsidRPr="00BD5CE4" w:rsidRDefault="0032536F" w:rsidP="00E1200A">
      <w:pPr>
        <w:jc w:val="both"/>
        <w:rPr>
          <w:rFonts w:ascii="Times New Roman" w:hAnsi="Times New Roman" w:cs="Times New Roman"/>
          <w:sz w:val="24"/>
          <w:szCs w:val="24"/>
        </w:rPr>
      </w:pPr>
      <w:r w:rsidRPr="00BD5CE4">
        <w:rPr>
          <w:rFonts w:ascii="Times New Roman" w:hAnsi="Times New Roman" w:cs="Times New Roman"/>
          <w:sz w:val="24"/>
          <w:szCs w:val="24"/>
        </w:rPr>
        <w:t>Values are Mean ± SEM</w:t>
      </w:r>
    </w:p>
    <w:p w:rsidR="0032536F" w:rsidRPr="00BD5CE4" w:rsidRDefault="0032536F"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CPI-Cysteine protease inhibitor</w:t>
      </w: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802C8F" w:rsidP="00E1200A">
      <w:pPr>
        <w:jc w:val="both"/>
        <w:rPr>
          <w:rFonts w:ascii="Times New Roman" w:hAnsi="Times New Roman" w:cs="Times New Roman"/>
          <w:sz w:val="24"/>
          <w:szCs w:val="24"/>
        </w:rPr>
      </w:pPr>
      <w:r w:rsidRPr="00BD5CE4">
        <w:rPr>
          <w:rFonts w:ascii="Times New Roman" w:hAnsi="Times New Roman" w:cs="Times New Roman"/>
          <w:sz w:val="24"/>
          <w:szCs w:val="24"/>
        </w:rPr>
        <w:t>Table 3</w:t>
      </w:r>
      <w:r w:rsidR="0032536F" w:rsidRPr="00BD5CE4">
        <w:rPr>
          <w:rFonts w:ascii="Times New Roman" w:hAnsi="Times New Roman" w:cs="Times New Roman"/>
          <w:sz w:val="24"/>
          <w:szCs w:val="24"/>
        </w:rPr>
        <w:t>:Four days suppressive test of crude extracts</w:t>
      </w:r>
    </w:p>
    <w:tbl>
      <w:tblPr>
        <w:tblW w:w="222" w:type="dxa"/>
        <w:tblInd w:w="-72" w:type="dxa"/>
        <w:tblLook w:val="04A0" w:firstRow="1" w:lastRow="0" w:firstColumn="1" w:lastColumn="0" w:noHBand="0" w:noVBand="1"/>
      </w:tblPr>
      <w:tblGrid>
        <w:gridCol w:w="5623"/>
      </w:tblGrid>
      <w:tr w:rsidR="0032536F" w:rsidRPr="00BD5CE4" w:rsidTr="003B02D8">
        <w:trPr>
          <w:trHeight w:val="300"/>
        </w:trPr>
        <w:tc>
          <w:tcPr>
            <w:tcW w:w="222" w:type="dxa"/>
            <w:tcBorders>
              <w:top w:val="nil"/>
              <w:left w:val="nil"/>
              <w:bottom w:val="nil"/>
              <w:right w:val="nil"/>
            </w:tcBorders>
          </w:tcPr>
          <w:tbl>
            <w:tblPr>
              <w:tblStyle w:val="TableGrid"/>
              <w:tblW w:w="4556" w:type="dxa"/>
              <w:tblLook w:val="04A0" w:firstRow="1" w:lastRow="0" w:firstColumn="1" w:lastColumn="0" w:noHBand="0" w:noVBand="1"/>
            </w:tblPr>
            <w:tblGrid>
              <w:gridCol w:w="2111"/>
              <w:gridCol w:w="1696"/>
              <w:gridCol w:w="1590"/>
            </w:tblGrid>
            <w:tr w:rsidR="0032536F" w:rsidRPr="00BD5CE4" w:rsidTr="0032536F">
              <w:tc>
                <w:tcPr>
                  <w:tcW w:w="4556" w:type="dxa"/>
                  <w:gridSpan w:val="3"/>
                </w:tcPr>
                <w:p w:rsidR="0032536F" w:rsidRDefault="0032536F" w:rsidP="00E1200A">
                  <w:pPr>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i/>
                      <w:color w:val="000000"/>
                      <w:sz w:val="24"/>
                      <w:szCs w:val="24"/>
                    </w:rPr>
                    <w:t xml:space="preserve"> Moringa oleifera</w:t>
                  </w:r>
                  <w:r w:rsidRPr="00BD5CE4">
                    <w:rPr>
                      <w:rFonts w:ascii="Times New Roman" w:eastAsia="Times New Roman" w:hAnsi="Times New Roman" w:cs="Times New Roman"/>
                      <w:color w:val="000000"/>
                      <w:sz w:val="24"/>
                      <w:szCs w:val="24"/>
                    </w:rPr>
                    <w:t xml:space="preserve"> (seeds)</w:t>
                  </w:r>
                </w:p>
                <w:p w:rsidR="00CF362B" w:rsidRPr="00BD5CE4" w:rsidRDefault="00CF362B" w:rsidP="00E1200A">
                  <w:pPr>
                    <w:jc w:val="both"/>
                    <w:rPr>
                      <w:rFonts w:ascii="Times New Roman" w:eastAsia="Times New Roman" w:hAnsi="Times New Roman" w:cs="Times New Roman"/>
                      <w:color w:val="000000"/>
                      <w:sz w:val="24"/>
                      <w:szCs w:val="24"/>
                    </w:rPr>
                  </w:pPr>
                </w:p>
              </w:tc>
            </w:tr>
            <w:tr w:rsidR="0032536F" w:rsidRPr="00BD5CE4" w:rsidTr="0032536F">
              <w:tc>
                <w:tcPr>
                  <w:tcW w:w="1717" w:type="dxa"/>
                  <w:vAlign w:val="bottom"/>
                </w:tcPr>
                <w:p w:rsidR="0032536F" w:rsidRDefault="0032536F" w:rsidP="00E1200A">
                  <w:pPr>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 </w:t>
                  </w:r>
                </w:p>
                <w:p w:rsidR="00CF362B" w:rsidRPr="00BD5CE4" w:rsidRDefault="00CF362B" w:rsidP="00E1200A">
                  <w:pPr>
                    <w:jc w:val="both"/>
                    <w:rPr>
                      <w:rFonts w:ascii="Times New Roman" w:eastAsia="Times New Roman" w:hAnsi="Times New Roman" w:cs="Times New Roman"/>
                      <w:color w:val="000000"/>
                      <w:sz w:val="24"/>
                      <w:szCs w:val="24"/>
                    </w:rPr>
                  </w:pPr>
                </w:p>
              </w:tc>
              <w:tc>
                <w:tcPr>
                  <w:tcW w:w="1478" w:type="dxa"/>
                  <w:vAlign w:val="bottom"/>
                </w:tcPr>
                <w:p w:rsidR="0032536F" w:rsidRPr="00BD5CE4" w:rsidRDefault="0032536F" w:rsidP="00E1200A">
                  <w:pPr>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%Paracetaemia</w:t>
                  </w:r>
                </w:p>
              </w:tc>
              <w:tc>
                <w:tcPr>
                  <w:tcW w:w="1361" w:type="dxa"/>
                  <w:vAlign w:val="bottom"/>
                </w:tcPr>
                <w:p w:rsidR="0032536F" w:rsidRPr="00BD5CE4" w:rsidRDefault="0032536F" w:rsidP="00E1200A">
                  <w:pPr>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%Suppression</w:t>
                  </w:r>
                </w:p>
              </w:tc>
            </w:tr>
            <w:tr w:rsidR="0032536F" w:rsidRPr="00BD5CE4" w:rsidTr="0032536F">
              <w:tc>
                <w:tcPr>
                  <w:tcW w:w="1717" w:type="dxa"/>
                  <w:vAlign w:val="bottom"/>
                </w:tcPr>
                <w:p w:rsidR="0032536F" w:rsidRPr="00BD5CE4" w:rsidRDefault="0032536F" w:rsidP="00E1200A">
                  <w:pPr>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Infected+PBS</w:t>
                  </w:r>
                </w:p>
                <w:p w:rsidR="0032536F" w:rsidRPr="00BD5CE4" w:rsidRDefault="0032536F" w:rsidP="00E1200A">
                  <w:pPr>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(negative control)</w:t>
                  </w:r>
                </w:p>
              </w:tc>
              <w:tc>
                <w:tcPr>
                  <w:tcW w:w="1478" w:type="dxa"/>
                  <w:vAlign w:val="bottom"/>
                </w:tcPr>
                <w:p w:rsidR="0032536F" w:rsidRPr="00BD5CE4" w:rsidRDefault="0032536F" w:rsidP="00E1200A">
                  <w:pPr>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14.56±0.80</w:t>
                  </w:r>
                  <w:r w:rsidR="00CF362B" w:rsidRPr="00CF362B">
                    <w:rPr>
                      <w:rFonts w:ascii="Times New Roman" w:eastAsia="Times New Roman" w:hAnsi="Times New Roman" w:cs="Times New Roman"/>
                      <w:color w:val="000000"/>
                      <w:sz w:val="24"/>
                      <w:szCs w:val="24"/>
                      <w:vertAlign w:val="superscript"/>
                    </w:rPr>
                    <w:t>a</w:t>
                  </w:r>
                </w:p>
              </w:tc>
              <w:tc>
                <w:tcPr>
                  <w:tcW w:w="1361" w:type="dxa"/>
                  <w:vAlign w:val="bottom"/>
                </w:tcPr>
                <w:p w:rsidR="0032536F" w:rsidRPr="00BD5CE4" w:rsidRDefault="0032536F" w:rsidP="00E1200A">
                  <w:pPr>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 </w:t>
                  </w:r>
                </w:p>
              </w:tc>
            </w:tr>
            <w:tr w:rsidR="0032536F" w:rsidRPr="00BD5CE4" w:rsidTr="0032536F">
              <w:tc>
                <w:tcPr>
                  <w:tcW w:w="1717" w:type="dxa"/>
                  <w:vAlign w:val="bottom"/>
                </w:tcPr>
                <w:p w:rsidR="00CF362B" w:rsidRDefault="00CF362B" w:rsidP="00E1200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Infected+artesun</w:t>
                  </w:r>
                  <w:r w:rsidR="0032536F" w:rsidRPr="00BD5CE4">
                    <w:rPr>
                      <w:rFonts w:ascii="Times New Roman" w:eastAsia="Times New Roman" w:hAnsi="Times New Roman" w:cs="Times New Roman"/>
                      <w:color w:val="000000"/>
                      <w:sz w:val="24"/>
                      <w:szCs w:val="24"/>
                    </w:rPr>
                    <w:t>ate</w:t>
                  </w:r>
                </w:p>
                <w:p w:rsidR="0032536F" w:rsidRPr="00BD5CE4" w:rsidRDefault="0032536F" w:rsidP="00CF362B">
                  <w:pPr>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(positive control)</w:t>
                  </w:r>
                </w:p>
              </w:tc>
              <w:tc>
                <w:tcPr>
                  <w:tcW w:w="1478" w:type="dxa"/>
                  <w:vAlign w:val="bottom"/>
                </w:tcPr>
                <w:p w:rsidR="0032536F" w:rsidRPr="00BD5CE4" w:rsidRDefault="0032536F" w:rsidP="00E1200A">
                  <w:pPr>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1.82±0.32</w:t>
                  </w:r>
                  <w:r w:rsidR="0006617A" w:rsidRPr="0006617A">
                    <w:rPr>
                      <w:rFonts w:ascii="Times New Roman" w:eastAsia="Times New Roman" w:hAnsi="Times New Roman" w:cs="Times New Roman"/>
                      <w:color w:val="000000"/>
                      <w:sz w:val="24"/>
                      <w:szCs w:val="24"/>
                      <w:vertAlign w:val="superscript"/>
                    </w:rPr>
                    <w:t>e</w:t>
                  </w:r>
                </w:p>
              </w:tc>
              <w:tc>
                <w:tcPr>
                  <w:tcW w:w="1361" w:type="dxa"/>
                  <w:vAlign w:val="bottom"/>
                </w:tcPr>
                <w:p w:rsidR="0032536F" w:rsidRPr="00BD5CE4" w:rsidRDefault="0032536F" w:rsidP="00E1200A">
                  <w:pPr>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87.50±0.21</w:t>
                  </w:r>
                  <w:r w:rsidRPr="00BD5CE4">
                    <w:rPr>
                      <w:rFonts w:ascii="Times New Roman" w:eastAsia="Times New Roman" w:hAnsi="Times New Roman" w:cs="Times New Roman"/>
                      <w:color w:val="000000"/>
                      <w:sz w:val="24"/>
                      <w:szCs w:val="24"/>
                      <w:vertAlign w:val="superscript"/>
                    </w:rPr>
                    <w:t>d</w:t>
                  </w:r>
                </w:p>
              </w:tc>
            </w:tr>
            <w:tr w:rsidR="0032536F" w:rsidRPr="00BD5CE4" w:rsidTr="0032536F">
              <w:tc>
                <w:tcPr>
                  <w:tcW w:w="1717" w:type="dxa"/>
                  <w:vAlign w:val="bottom"/>
                </w:tcPr>
                <w:p w:rsidR="00CF362B" w:rsidRDefault="00CF362B" w:rsidP="00E1200A">
                  <w:pPr>
                    <w:jc w:val="both"/>
                    <w:rPr>
                      <w:rFonts w:ascii="Times New Roman" w:eastAsia="Times New Roman" w:hAnsi="Times New Roman" w:cs="Times New Roman"/>
                      <w:color w:val="000000"/>
                      <w:sz w:val="24"/>
                      <w:szCs w:val="24"/>
                    </w:rPr>
                  </w:pPr>
                </w:p>
                <w:p w:rsidR="0032536F" w:rsidRPr="00BD5CE4" w:rsidRDefault="0032536F" w:rsidP="00E1200A">
                  <w:pPr>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Infected+30mg/kg</w:t>
                  </w:r>
                </w:p>
              </w:tc>
              <w:tc>
                <w:tcPr>
                  <w:tcW w:w="1478" w:type="dxa"/>
                  <w:vAlign w:val="bottom"/>
                </w:tcPr>
                <w:p w:rsidR="0032536F" w:rsidRPr="00BD5CE4" w:rsidRDefault="0032536F" w:rsidP="00E1200A">
                  <w:pPr>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8.82±0.86</w:t>
                  </w:r>
                  <w:r w:rsidR="0006617A" w:rsidRPr="0006617A">
                    <w:rPr>
                      <w:rFonts w:ascii="Times New Roman" w:eastAsia="Times New Roman" w:hAnsi="Times New Roman" w:cs="Times New Roman"/>
                      <w:color w:val="000000"/>
                      <w:sz w:val="24"/>
                      <w:szCs w:val="24"/>
                      <w:vertAlign w:val="superscript"/>
                    </w:rPr>
                    <w:t>b</w:t>
                  </w:r>
                </w:p>
              </w:tc>
              <w:tc>
                <w:tcPr>
                  <w:tcW w:w="1361" w:type="dxa"/>
                  <w:vAlign w:val="bottom"/>
                </w:tcPr>
                <w:p w:rsidR="0032536F" w:rsidRPr="00BD5CE4" w:rsidRDefault="0032536F" w:rsidP="00E1200A">
                  <w:pPr>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39.42±0.23</w:t>
                  </w:r>
                  <w:r w:rsidRPr="00BD5CE4">
                    <w:rPr>
                      <w:rFonts w:ascii="Times New Roman" w:eastAsia="Times New Roman" w:hAnsi="Times New Roman" w:cs="Times New Roman"/>
                      <w:color w:val="000000"/>
                      <w:sz w:val="24"/>
                      <w:szCs w:val="24"/>
                      <w:vertAlign w:val="superscript"/>
                    </w:rPr>
                    <w:t>a</w:t>
                  </w:r>
                </w:p>
              </w:tc>
            </w:tr>
            <w:tr w:rsidR="0032536F" w:rsidRPr="00BD5CE4" w:rsidTr="0032536F">
              <w:tc>
                <w:tcPr>
                  <w:tcW w:w="1717" w:type="dxa"/>
                  <w:vAlign w:val="bottom"/>
                </w:tcPr>
                <w:p w:rsidR="00CF362B" w:rsidRDefault="00CF362B" w:rsidP="00E1200A">
                  <w:pPr>
                    <w:jc w:val="both"/>
                    <w:rPr>
                      <w:rFonts w:ascii="Times New Roman" w:eastAsia="Times New Roman" w:hAnsi="Times New Roman" w:cs="Times New Roman"/>
                      <w:color w:val="000000"/>
                      <w:sz w:val="24"/>
                      <w:szCs w:val="24"/>
                    </w:rPr>
                  </w:pPr>
                </w:p>
                <w:p w:rsidR="0032536F" w:rsidRPr="00BD5CE4" w:rsidRDefault="0032536F" w:rsidP="00E1200A">
                  <w:pPr>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Infected+50mg/kg</w:t>
                  </w:r>
                </w:p>
              </w:tc>
              <w:tc>
                <w:tcPr>
                  <w:tcW w:w="1478" w:type="dxa"/>
                  <w:vAlign w:val="bottom"/>
                </w:tcPr>
                <w:p w:rsidR="0032536F" w:rsidRPr="00BD5CE4" w:rsidRDefault="0032536F" w:rsidP="00E1200A">
                  <w:pPr>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7.52± 0.54</w:t>
                  </w:r>
                  <w:r w:rsidR="0006617A" w:rsidRPr="0006617A">
                    <w:rPr>
                      <w:rFonts w:ascii="Times New Roman" w:eastAsia="Times New Roman" w:hAnsi="Times New Roman" w:cs="Times New Roman"/>
                      <w:color w:val="000000"/>
                      <w:sz w:val="24"/>
                      <w:szCs w:val="24"/>
                      <w:vertAlign w:val="superscript"/>
                    </w:rPr>
                    <w:t>c</w:t>
                  </w:r>
                </w:p>
              </w:tc>
              <w:tc>
                <w:tcPr>
                  <w:tcW w:w="1361" w:type="dxa"/>
                  <w:vAlign w:val="bottom"/>
                </w:tcPr>
                <w:p w:rsidR="0032536F" w:rsidRPr="00BD5CE4" w:rsidRDefault="0032536F" w:rsidP="00E1200A">
                  <w:pPr>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48.48±0.25</w:t>
                  </w:r>
                  <w:r w:rsidRPr="00BD5CE4">
                    <w:rPr>
                      <w:rFonts w:ascii="Times New Roman" w:eastAsia="Times New Roman" w:hAnsi="Times New Roman" w:cs="Times New Roman"/>
                      <w:color w:val="000000"/>
                      <w:sz w:val="24"/>
                      <w:szCs w:val="24"/>
                      <w:vertAlign w:val="superscript"/>
                    </w:rPr>
                    <w:t>b</w:t>
                  </w:r>
                </w:p>
              </w:tc>
            </w:tr>
            <w:tr w:rsidR="0032536F" w:rsidRPr="00BD5CE4" w:rsidTr="0032536F">
              <w:tc>
                <w:tcPr>
                  <w:tcW w:w="1717" w:type="dxa"/>
                  <w:vAlign w:val="bottom"/>
                </w:tcPr>
                <w:p w:rsidR="00CF362B" w:rsidRDefault="00CF362B" w:rsidP="00E1200A">
                  <w:pPr>
                    <w:jc w:val="both"/>
                    <w:rPr>
                      <w:rFonts w:ascii="Times New Roman" w:eastAsia="Times New Roman" w:hAnsi="Times New Roman" w:cs="Times New Roman"/>
                      <w:color w:val="000000"/>
                      <w:sz w:val="24"/>
                      <w:szCs w:val="24"/>
                    </w:rPr>
                  </w:pPr>
                </w:p>
                <w:p w:rsidR="0032536F" w:rsidRPr="00BD5CE4" w:rsidRDefault="0032536F" w:rsidP="00E1200A">
                  <w:pPr>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 xml:space="preserve">Infected+70mg/kg </w:t>
                  </w:r>
                </w:p>
              </w:tc>
              <w:tc>
                <w:tcPr>
                  <w:tcW w:w="1478" w:type="dxa"/>
                  <w:vAlign w:val="bottom"/>
                </w:tcPr>
                <w:p w:rsidR="0032536F" w:rsidRPr="00BD5CE4" w:rsidRDefault="0032536F" w:rsidP="00E1200A">
                  <w:pPr>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6.16± 0.32</w:t>
                  </w:r>
                  <w:r w:rsidR="0006617A" w:rsidRPr="00BD5CE4">
                    <w:rPr>
                      <w:rFonts w:ascii="Times New Roman" w:eastAsia="Times New Roman" w:hAnsi="Times New Roman" w:cs="Times New Roman"/>
                      <w:color w:val="000000"/>
                      <w:sz w:val="24"/>
                      <w:szCs w:val="24"/>
                      <w:vertAlign w:val="superscript"/>
                    </w:rPr>
                    <w:t xml:space="preserve"> d</w:t>
                  </w:r>
                </w:p>
              </w:tc>
              <w:tc>
                <w:tcPr>
                  <w:tcW w:w="1361" w:type="dxa"/>
                  <w:vAlign w:val="bottom"/>
                </w:tcPr>
                <w:p w:rsidR="0032536F" w:rsidRPr="00BD5CE4" w:rsidRDefault="0032536F" w:rsidP="00E1200A">
                  <w:pPr>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57.70±0.34</w:t>
                  </w:r>
                  <w:r w:rsidRPr="00BD5CE4">
                    <w:rPr>
                      <w:rFonts w:ascii="Times New Roman" w:eastAsia="Times New Roman" w:hAnsi="Times New Roman" w:cs="Times New Roman"/>
                      <w:color w:val="000000"/>
                      <w:sz w:val="24"/>
                      <w:szCs w:val="24"/>
                      <w:vertAlign w:val="superscript"/>
                    </w:rPr>
                    <w:t>c</w:t>
                  </w:r>
                </w:p>
              </w:tc>
            </w:tr>
          </w:tbl>
          <w:p w:rsidR="0032536F" w:rsidRPr="00BD5CE4" w:rsidRDefault="0032536F" w:rsidP="00E1200A">
            <w:pPr>
              <w:spacing w:after="0" w:line="240" w:lineRule="auto"/>
              <w:jc w:val="both"/>
              <w:rPr>
                <w:rFonts w:ascii="Times New Roman" w:eastAsia="Times New Roman" w:hAnsi="Times New Roman" w:cs="Times New Roman"/>
                <w:color w:val="000000"/>
                <w:sz w:val="24"/>
                <w:szCs w:val="24"/>
              </w:rPr>
            </w:pPr>
          </w:p>
        </w:tc>
      </w:tr>
    </w:tbl>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r w:rsidRPr="00BD5CE4">
        <w:rPr>
          <w:rFonts w:ascii="Times New Roman" w:hAnsi="Times New Roman" w:cs="Times New Roman"/>
          <w:sz w:val="24"/>
          <w:szCs w:val="24"/>
        </w:rPr>
        <w:t>Values are Mean ± SEM</w:t>
      </w:r>
    </w:p>
    <w:p w:rsidR="0032536F" w:rsidRPr="00BD5CE4" w:rsidRDefault="0032536F" w:rsidP="00E1200A">
      <w:pPr>
        <w:jc w:val="both"/>
        <w:rPr>
          <w:rFonts w:ascii="Times New Roman" w:hAnsi="Times New Roman" w:cs="Times New Roman"/>
          <w:sz w:val="24"/>
          <w:szCs w:val="24"/>
        </w:rPr>
      </w:pPr>
      <w:r w:rsidRPr="00BD5CE4">
        <w:rPr>
          <w:rFonts w:ascii="Times New Roman" w:hAnsi="Times New Roman" w:cs="Times New Roman"/>
          <w:sz w:val="24"/>
          <w:szCs w:val="24"/>
        </w:rPr>
        <w:t>Values with different superscript letters within the same column are significantly different (P &lt; 0.05)</w:t>
      </w: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eastAsia="Times New Roman" w:hAnsi="Times New Roman" w:cs="Times New Roman"/>
          <w:color w:val="000000"/>
          <w:sz w:val="24"/>
          <w:szCs w:val="24"/>
        </w:rPr>
      </w:pPr>
    </w:p>
    <w:p w:rsidR="0032536F" w:rsidRPr="00BD5CE4" w:rsidRDefault="0032536F" w:rsidP="00E1200A">
      <w:pPr>
        <w:jc w:val="both"/>
        <w:rPr>
          <w:rFonts w:ascii="Times New Roman" w:eastAsia="Times New Roman" w:hAnsi="Times New Roman" w:cs="Times New Roman"/>
          <w:color w:val="000000"/>
          <w:sz w:val="24"/>
          <w:szCs w:val="24"/>
        </w:rPr>
      </w:pPr>
    </w:p>
    <w:p w:rsidR="0032536F" w:rsidRPr="00BD5CE4" w:rsidRDefault="0032536F" w:rsidP="00E1200A">
      <w:pPr>
        <w:jc w:val="both"/>
        <w:rPr>
          <w:rFonts w:ascii="Times New Roman" w:eastAsia="Times New Roman" w:hAnsi="Times New Roman" w:cs="Times New Roman"/>
          <w:color w:val="000000"/>
          <w:sz w:val="24"/>
          <w:szCs w:val="24"/>
        </w:rPr>
      </w:pPr>
    </w:p>
    <w:p w:rsidR="0032536F" w:rsidRPr="00BD5CE4" w:rsidRDefault="0032536F" w:rsidP="00E1200A">
      <w:pPr>
        <w:jc w:val="both"/>
        <w:rPr>
          <w:rFonts w:ascii="Times New Roman" w:eastAsia="Times New Roman" w:hAnsi="Times New Roman" w:cs="Times New Roman"/>
          <w:color w:val="000000"/>
          <w:sz w:val="24"/>
          <w:szCs w:val="24"/>
        </w:rPr>
      </w:pPr>
    </w:p>
    <w:p w:rsidR="0032536F" w:rsidRPr="00BD5CE4" w:rsidRDefault="0032536F" w:rsidP="00E1200A">
      <w:pPr>
        <w:jc w:val="both"/>
        <w:rPr>
          <w:rFonts w:ascii="Times New Roman" w:eastAsia="Times New Roman" w:hAnsi="Times New Roman" w:cs="Times New Roman"/>
          <w:color w:val="000000"/>
          <w:sz w:val="24"/>
          <w:szCs w:val="24"/>
        </w:rPr>
      </w:pPr>
    </w:p>
    <w:p w:rsidR="0032536F" w:rsidRPr="00BD5CE4" w:rsidRDefault="0032536F" w:rsidP="00E1200A">
      <w:pPr>
        <w:jc w:val="both"/>
        <w:rPr>
          <w:rFonts w:ascii="Times New Roman" w:eastAsia="Times New Roman" w:hAnsi="Times New Roman" w:cs="Times New Roman"/>
          <w:color w:val="000000"/>
          <w:sz w:val="24"/>
          <w:szCs w:val="24"/>
        </w:rPr>
      </w:pPr>
    </w:p>
    <w:p w:rsidR="0032536F" w:rsidRPr="00BD5CE4" w:rsidRDefault="0032536F" w:rsidP="00E1200A">
      <w:pPr>
        <w:jc w:val="both"/>
        <w:rPr>
          <w:rFonts w:ascii="Times New Roman" w:eastAsia="Times New Roman" w:hAnsi="Times New Roman" w:cs="Times New Roman"/>
          <w:color w:val="000000"/>
          <w:sz w:val="24"/>
          <w:szCs w:val="24"/>
        </w:rPr>
      </w:pPr>
    </w:p>
    <w:p w:rsidR="0032536F" w:rsidRPr="00BD5CE4" w:rsidRDefault="0032536F" w:rsidP="00E1200A">
      <w:pPr>
        <w:jc w:val="both"/>
        <w:rPr>
          <w:rFonts w:ascii="Times New Roman" w:eastAsia="Times New Roman" w:hAnsi="Times New Roman" w:cs="Times New Roman"/>
          <w:color w:val="000000"/>
          <w:sz w:val="24"/>
          <w:szCs w:val="24"/>
        </w:rPr>
      </w:pPr>
    </w:p>
    <w:p w:rsidR="0032536F" w:rsidRPr="00BD5CE4" w:rsidRDefault="0032536F" w:rsidP="00E1200A">
      <w:pPr>
        <w:jc w:val="both"/>
        <w:rPr>
          <w:rFonts w:ascii="Times New Roman" w:eastAsia="Times New Roman" w:hAnsi="Times New Roman" w:cs="Times New Roman"/>
          <w:color w:val="000000"/>
          <w:sz w:val="24"/>
          <w:szCs w:val="24"/>
        </w:rPr>
      </w:pPr>
    </w:p>
    <w:p w:rsidR="0032536F" w:rsidRPr="00BD5CE4" w:rsidRDefault="0032536F" w:rsidP="00E1200A">
      <w:pPr>
        <w:jc w:val="both"/>
        <w:rPr>
          <w:rFonts w:ascii="Times New Roman" w:eastAsia="Times New Roman" w:hAnsi="Times New Roman" w:cs="Times New Roman"/>
          <w:color w:val="000000"/>
          <w:sz w:val="24"/>
          <w:szCs w:val="24"/>
        </w:rPr>
      </w:pPr>
    </w:p>
    <w:p w:rsidR="0032536F" w:rsidRPr="00BD5CE4" w:rsidRDefault="0032536F" w:rsidP="00E1200A">
      <w:pPr>
        <w:jc w:val="both"/>
        <w:rPr>
          <w:rFonts w:ascii="Times New Roman" w:eastAsia="Times New Roman" w:hAnsi="Times New Roman" w:cs="Times New Roman"/>
          <w:color w:val="000000"/>
          <w:sz w:val="24"/>
          <w:szCs w:val="24"/>
        </w:rPr>
      </w:pPr>
    </w:p>
    <w:p w:rsidR="0032536F" w:rsidRPr="00BD5CE4" w:rsidRDefault="0032536F" w:rsidP="00E1200A">
      <w:pPr>
        <w:jc w:val="both"/>
        <w:rPr>
          <w:rFonts w:ascii="Times New Roman" w:eastAsia="Times New Roman" w:hAnsi="Times New Roman" w:cs="Times New Roman"/>
          <w:color w:val="000000"/>
          <w:sz w:val="24"/>
          <w:szCs w:val="24"/>
        </w:rPr>
      </w:pPr>
    </w:p>
    <w:p w:rsidR="0032536F" w:rsidRPr="00BD5CE4" w:rsidRDefault="0032536F" w:rsidP="00E1200A">
      <w:pPr>
        <w:jc w:val="both"/>
        <w:rPr>
          <w:rFonts w:ascii="Times New Roman" w:eastAsia="Times New Roman" w:hAnsi="Times New Roman" w:cs="Times New Roman"/>
          <w:color w:val="000000"/>
          <w:sz w:val="24"/>
          <w:szCs w:val="24"/>
        </w:rPr>
      </w:pPr>
    </w:p>
    <w:p w:rsidR="0032536F" w:rsidRPr="00BD5CE4" w:rsidRDefault="00802C8F" w:rsidP="00E1200A">
      <w:pPr>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TABLE 4</w:t>
      </w:r>
      <w:r w:rsidR="0032536F" w:rsidRPr="00BD5CE4">
        <w:rPr>
          <w:rFonts w:ascii="Times New Roman" w:eastAsia="Times New Roman" w:hAnsi="Times New Roman" w:cs="Times New Roman"/>
          <w:color w:val="000000"/>
          <w:sz w:val="24"/>
          <w:szCs w:val="24"/>
        </w:rPr>
        <w:t xml:space="preserve">:Effect of crude CPI extract on the body weights of </w:t>
      </w:r>
      <w:r w:rsidR="0032536F" w:rsidRPr="00BD5CE4">
        <w:rPr>
          <w:rFonts w:ascii="Times New Roman" w:eastAsia="Times New Roman" w:hAnsi="Times New Roman" w:cs="Times New Roman"/>
          <w:i/>
          <w:iCs/>
          <w:color w:val="000000"/>
          <w:sz w:val="24"/>
          <w:szCs w:val="24"/>
        </w:rPr>
        <w:t>P. berghe</w:t>
      </w:r>
      <w:r w:rsidR="0032536F" w:rsidRPr="00BD5CE4">
        <w:rPr>
          <w:rFonts w:ascii="Times New Roman" w:eastAsia="Times New Roman" w:hAnsi="Times New Roman" w:cs="Times New Roman"/>
          <w:color w:val="000000"/>
          <w:sz w:val="24"/>
          <w:szCs w:val="24"/>
        </w:rPr>
        <w:t>i infected  mice</w:t>
      </w:r>
    </w:p>
    <w:tbl>
      <w:tblPr>
        <w:tblW w:w="6076" w:type="dxa"/>
        <w:tblInd w:w="96" w:type="dxa"/>
        <w:tblLook w:val="04A0" w:firstRow="1" w:lastRow="0" w:firstColumn="1" w:lastColumn="0" w:noHBand="0" w:noVBand="1"/>
      </w:tblPr>
      <w:tblGrid>
        <w:gridCol w:w="2458"/>
        <w:gridCol w:w="1800"/>
        <w:gridCol w:w="1818"/>
      </w:tblGrid>
      <w:tr w:rsidR="0032536F" w:rsidRPr="00BD5CE4" w:rsidTr="007F2921">
        <w:trPr>
          <w:trHeight w:val="476"/>
        </w:trPr>
        <w:tc>
          <w:tcPr>
            <w:tcW w:w="2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36F" w:rsidRPr="00BD5CE4" w:rsidRDefault="0032536F" w:rsidP="00E1200A">
            <w:pPr>
              <w:spacing w:after="0" w:line="240" w:lineRule="auto"/>
              <w:jc w:val="both"/>
              <w:rPr>
                <w:rFonts w:ascii="Times New Roman" w:eastAsia="Times New Roman" w:hAnsi="Times New Roman" w:cs="Times New Roman"/>
                <w:color w:val="000000"/>
                <w:sz w:val="24"/>
                <w:szCs w:val="24"/>
              </w:rPr>
            </w:pPr>
          </w:p>
        </w:tc>
        <w:tc>
          <w:tcPr>
            <w:tcW w:w="3618" w:type="dxa"/>
            <w:gridSpan w:val="2"/>
            <w:tcBorders>
              <w:top w:val="single" w:sz="4" w:space="0" w:color="auto"/>
              <w:left w:val="nil"/>
              <w:bottom w:val="single" w:sz="4" w:space="0" w:color="auto"/>
              <w:right w:val="single" w:sz="4" w:space="0" w:color="auto"/>
            </w:tcBorders>
            <w:shd w:val="clear" w:color="auto" w:fill="auto"/>
            <w:noWrap/>
            <w:vAlign w:val="bottom"/>
            <w:hideMark/>
          </w:tcPr>
          <w:p w:rsidR="0032536F" w:rsidRPr="00BD5CE4" w:rsidRDefault="0032536F"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Body weight(g)</w:t>
            </w:r>
          </w:p>
        </w:tc>
      </w:tr>
      <w:tr w:rsidR="000B579E" w:rsidRPr="00BD5CE4" w:rsidTr="007F2921">
        <w:trPr>
          <w:trHeight w:val="449"/>
        </w:trPr>
        <w:tc>
          <w:tcPr>
            <w:tcW w:w="2458" w:type="dxa"/>
            <w:tcBorders>
              <w:top w:val="nil"/>
              <w:left w:val="single" w:sz="4" w:space="0" w:color="auto"/>
              <w:bottom w:val="single" w:sz="4" w:space="0" w:color="auto"/>
              <w:right w:val="single" w:sz="4" w:space="0" w:color="auto"/>
            </w:tcBorders>
            <w:shd w:val="clear" w:color="auto" w:fill="auto"/>
            <w:noWrap/>
            <w:vAlign w:val="bottom"/>
            <w:hideMark/>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 </w:t>
            </w:r>
          </w:p>
        </w:tc>
        <w:tc>
          <w:tcPr>
            <w:tcW w:w="1800"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Pre treatment</w:t>
            </w:r>
          </w:p>
        </w:tc>
        <w:tc>
          <w:tcPr>
            <w:tcW w:w="1818"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post treatment</w:t>
            </w:r>
          </w:p>
        </w:tc>
      </w:tr>
      <w:tr w:rsidR="000B579E" w:rsidRPr="00BD5CE4" w:rsidTr="007F2921">
        <w:trPr>
          <w:trHeight w:val="440"/>
        </w:trPr>
        <w:tc>
          <w:tcPr>
            <w:tcW w:w="2458" w:type="dxa"/>
            <w:tcBorders>
              <w:top w:val="nil"/>
              <w:left w:val="single" w:sz="4" w:space="0" w:color="auto"/>
              <w:bottom w:val="single" w:sz="4" w:space="0" w:color="auto"/>
              <w:right w:val="single" w:sz="4" w:space="0" w:color="auto"/>
            </w:tcBorders>
            <w:shd w:val="clear" w:color="auto" w:fill="auto"/>
            <w:noWrap/>
            <w:vAlign w:val="bottom"/>
            <w:hideMark/>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Normal Control(PBS)</w:t>
            </w:r>
          </w:p>
        </w:tc>
        <w:tc>
          <w:tcPr>
            <w:tcW w:w="1800"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26.20±2.48</w:t>
            </w:r>
          </w:p>
        </w:tc>
        <w:tc>
          <w:tcPr>
            <w:tcW w:w="1818"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35.00±1.87</w:t>
            </w:r>
            <w:r w:rsidRPr="00BD5CE4">
              <w:rPr>
                <w:rFonts w:ascii="Times New Roman" w:eastAsia="Times New Roman" w:hAnsi="Times New Roman" w:cs="Times New Roman"/>
                <w:color w:val="000000"/>
                <w:sz w:val="24"/>
                <w:szCs w:val="24"/>
                <w:vertAlign w:val="superscript"/>
              </w:rPr>
              <w:t xml:space="preserve"> a</w:t>
            </w:r>
          </w:p>
        </w:tc>
      </w:tr>
      <w:tr w:rsidR="000B579E" w:rsidRPr="00BD5CE4" w:rsidTr="007F2921">
        <w:trPr>
          <w:trHeight w:val="440"/>
        </w:trPr>
        <w:tc>
          <w:tcPr>
            <w:tcW w:w="2458" w:type="dxa"/>
            <w:tcBorders>
              <w:top w:val="nil"/>
              <w:left w:val="single" w:sz="4" w:space="0" w:color="auto"/>
              <w:bottom w:val="single" w:sz="4" w:space="0" w:color="auto"/>
              <w:right w:val="single" w:sz="4" w:space="0" w:color="auto"/>
            </w:tcBorders>
            <w:shd w:val="clear" w:color="auto" w:fill="auto"/>
            <w:noWrap/>
            <w:vAlign w:val="bottom"/>
            <w:hideMark/>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Inhibitor  control(IC)</w:t>
            </w:r>
          </w:p>
        </w:tc>
        <w:tc>
          <w:tcPr>
            <w:tcW w:w="1800"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27.80±1.30</w:t>
            </w:r>
          </w:p>
        </w:tc>
        <w:tc>
          <w:tcPr>
            <w:tcW w:w="1818"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37.60±1.14</w:t>
            </w:r>
            <w:r w:rsidRPr="00BD5CE4">
              <w:rPr>
                <w:rFonts w:ascii="Times New Roman" w:eastAsia="Times New Roman" w:hAnsi="Times New Roman" w:cs="Times New Roman"/>
                <w:color w:val="000000"/>
                <w:sz w:val="24"/>
                <w:szCs w:val="24"/>
                <w:vertAlign w:val="superscript"/>
              </w:rPr>
              <w:t xml:space="preserve"> a</w:t>
            </w:r>
          </w:p>
        </w:tc>
      </w:tr>
      <w:tr w:rsidR="000B579E" w:rsidRPr="00BD5CE4" w:rsidTr="007F2921">
        <w:trPr>
          <w:trHeight w:val="440"/>
        </w:trPr>
        <w:tc>
          <w:tcPr>
            <w:tcW w:w="2458" w:type="dxa"/>
            <w:tcBorders>
              <w:top w:val="nil"/>
              <w:left w:val="single" w:sz="4" w:space="0" w:color="auto"/>
              <w:bottom w:val="single" w:sz="4" w:space="0" w:color="auto"/>
              <w:right w:val="single" w:sz="4" w:space="0" w:color="auto"/>
            </w:tcBorders>
            <w:shd w:val="clear" w:color="auto" w:fill="auto"/>
            <w:noWrap/>
            <w:vAlign w:val="bottom"/>
            <w:hideMark/>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Infected+PBS(negative control)</w:t>
            </w:r>
          </w:p>
        </w:tc>
        <w:tc>
          <w:tcPr>
            <w:tcW w:w="1800"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28.00±1.58</w:t>
            </w:r>
          </w:p>
        </w:tc>
        <w:tc>
          <w:tcPr>
            <w:tcW w:w="1818"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19.50±2.12</w:t>
            </w:r>
            <w:r w:rsidRPr="00BD5CE4">
              <w:rPr>
                <w:rFonts w:ascii="Times New Roman" w:eastAsia="Times New Roman" w:hAnsi="Times New Roman" w:cs="Times New Roman"/>
                <w:color w:val="000000"/>
                <w:sz w:val="24"/>
                <w:szCs w:val="24"/>
                <w:vertAlign w:val="superscript"/>
              </w:rPr>
              <w:t xml:space="preserve"> b</w:t>
            </w:r>
          </w:p>
        </w:tc>
      </w:tr>
      <w:tr w:rsidR="000B579E" w:rsidRPr="00BD5CE4" w:rsidTr="007F2921">
        <w:trPr>
          <w:trHeight w:val="440"/>
        </w:trPr>
        <w:tc>
          <w:tcPr>
            <w:tcW w:w="2458" w:type="dxa"/>
            <w:tcBorders>
              <w:top w:val="nil"/>
              <w:left w:val="single" w:sz="4" w:space="0" w:color="auto"/>
              <w:bottom w:val="single" w:sz="4" w:space="0" w:color="auto"/>
              <w:right w:val="single" w:sz="4" w:space="0" w:color="auto"/>
            </w:tcBorders>
            <w:shd w:val="clear" w:color="auto" w:fill="auto"/>
            <w:noWrap/>
            <w:vAlign w:val="bottom"/>
            <w:hideMark/>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Infected+artesunate</w:t>
            </w:r>
          </w:p>
        </w:tc>
        <w:tc>
          <w:tcPr>
            <w:tcW w:w="1800"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24.20±1.92</w:t>
            </w:r>
          </w:p>
        </w:tc>
        <w:tc>
          <w:tcPr>
            <w:tcW w:w="1818"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33.40±2.88</w:t>
            </w:r>
            <w:r w:rsidRPr="00BD5CE4">
              <w:rPr>
                <w:rFonts w:ascii="Times New Roman" w:eastAsia="Times New Roman" w:hAnsi="Times New Roman" w:cs="Times New Roman"/>
                <w:color w:val="000000"/>
                <w:sz w:val="24"/>
                <w:szCs w:val="24"/>
                <w:vertAlign w:val="superscript"/>
              </w:rPr>
              <w:t xml:space="preserve"> a</w:t>
            </w:r>
          </w:p>
        </w:tc>
      </w:tr>
      <w:tr w:rsidR="000B579E" w:rsidRPr="00BD5CE4" w:rsidTr="007F2921">
        <w:trPr>
          <w:trHeight w:val="440"/>
        </w:trPr>
        <w:tc>
          <w:tcPr>
            <w:tcW w:w="2458" w:type="dxa"/>
            <w:tcBorders>
              <w:top w:val="nil"/>
              <w:left w:val="single" w:sz="4" w:space="0" w:color="auto"/>
              <w:bottom w:val="single" w:sz="4" w:space="0" w:color="auto"/>
              <w:right w:val="single" w:sz="4" w:space="0" w:color="auto"/>
            </w:tcBorders>
            <w:shd w:val="clear" w:color="auto" w:fill="auto"/>
            <w:noWrap/>
            <w:vAlign w:val="bottom"/>
            <w:hideMark/>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 xml:space="preserve">Infected+20mg/kg </w:t>
            </w:r>
          </w:p>
        </w:tc>
        <w:tc>
          <w:tcPr>
            <w:tcW w:w="1800"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26.40±2.07</w:t>
            </w:r>
          </w:p>
        </w:tc>
        <w:tc>
          <w:tcPr>
            <w:tcW w:w="1818"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32.20±4.81</w:t>
            </w:r>
            <w:r w:rsidRPr="00BD5CE4">
              <w:rPr>
                <w:rFonts w:ascii="Times New Roman" w:eastAsia="Times New Roman" w:hAnsi="Times New Roman" w:cs="Times New Roman"/>
                <w:color w:val="000000"/>
                <w:sz w:val="24"/>
                <w:szCs w:val="24"/>
                <w:vertAlign w:val="superscript"/>
              </w:rPr>
              <w:t xml:space="preserve"> a</w:t>
            </w:r>
          </w:p>
        </w:tc>
      </w:tr>
      <w:tr w:rsidR="000B579E" w:rsidRPr="00BD5CE4" w:rsidTr="007F2921">
        <w:trPr>
          <w:trHeight w:val="431"/>
        </w:trPr>
        <w:tc>
          <w:tcPr>
            <w:tcW w:w="2458" w:type="dxa"/>
            <w:tcBorders>
              <w:top w:val="nil"/>
              <w:left w:val="single" w:sz="4" w:space="0" w:color="auto"/>
              <w:bottom w:val="single" w:sz="4" w:space="0" w:color="auto"/>
              <w:right w:val="single" w:sz="4" w:space="0" w:color="auto"/>
            </w:tcBorders>
            <w:shd w:val="clear" w:color="auto" w:fill="auto"/>
            <w:noWrap/>
            <w:vAlign w:val="bottom"/>
            <w:hideMark/>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 xml:space="preserve">Infected+30mg/kg </w:t>
            </w:r>
          </w:p>
        </w:tc>
        <w:tc>
          <w:tcPr>
            <w:tcW w:w="1800"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28.60±2.70</w:t>
            </w:r>
          </w:p>
        </w:tc>
        <w:tc>
          <w:tcPr>
            <w:tcW w:w="1818"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32.80±4.20</w:t>
            </w:r>
            <w:r w:rsidRPr="00BD5CE4">
              <w:rPr>
                <w:rFonts w:ascii="Times New Roman" w:eastAsia="Times New Roman" w:hAnsi="Times New Roman" w:cs="Times New Roman"/>
                <w:color w:val="000000"/>
                <w:sz w:val="24"/>
                <w:szCs w:val="24"/>
                <w:vertAlign w:val="superscript"/>
              </w:rPr>
              <w:t xml:space="preserve"> a</w:t>
            </w:r>
          </w:p>
        </w:tc>
      </w:tr>
      <w:tr w:rsidR="000B579E" w:rsidRPr="00BD5CE4" w:rsidTr="007F2921">
        <w:trPr>
          <w:trHeight w:val="440"/>
        </w:trPr>
        <w:tc>
          <w:tcPr>
            <w:tcW w:w="2458" w:type="dxa"/>
            <w:tcBorders>
              <w:top w:val="nil"/>
              <w:left w:val="single" w:sz="4" w:space="0" w:color="auto"/>
              <w:bottom w:val="single" w:sz="4" w:space="0" w:color="auto"/>
              <w:right w:val="single" w:sz="4" w:space="0" w:color="auto"/>
            </w:tcBorders>
            <w:shd w:val="clear" w:color="auto" w:fill="auto"/>
            <w:noWrap/>
            <w:vAlign w:val="bottom"/>
            <w:hideMark/>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 xml:space="preserve">Infected+50mg/kg </w:t>
            </w:r>
          </w:p>
        </w:tc>
        <w:tc>
          <w:tcPr>
            <w:tcW w:w="1800"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28.80±2.38</w:t>
            </w:r>
          </w:p>
        </w:tc>
        <w:tc>
          <w:tcPr>
            <w:tcW w:w="1818"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33.40±5.17</w:t>
            </w:r>
            <w:r w:rsidRPr="00BD5CE4">
              <w:rPr>
                <w:rFonts w:ascii="Times New Roman" w:eastAsia="Times New Roman" w:hAnsi="Times New Roman" w:cs="Times New Roman"/>
                <w:color w:val="000000"/>
                <w:sz w:val="24"/>
                <w:szCs w:val="24"/>
                <w:vertAlign w:val="superscript"/>
              </w:rPr>
              <w:t xml:space="preserve"> a</w:t>
            </w:r>
          </w:p>
        </w:tc>
      </w:tr>
    </w:tbl>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r w:rsidRPr="00BD5CE4">
        <w:rPr>
          <w:rFonts w:ascii="Times New Roman" w:hAnsi="Times New Roman" w:cs="Times New Roman"/>
          <w:sz w:val="24"/>
          <w:szCs w:val="24"/>
        </w:rPr>
        <w:t>Values are Mean ± SEM</w:t>
      </w:r>
    </w:p>
    <w:p w:rsidR="0032536F" w:rsidRPr="00BD5CE4" w:rsidRDefault="0032536F" w:rsidP="00E1200A">
      <w:pPr>
        <w:jc w:val="both"/>
        <w:rPr>
          <w:rFonts w:ascii="Times New Roman" w:hAnsi="Times New Roman" w:cs="Times New Roman"/>
          <w:sz w:val="24"/>
          <w:szCs w:val="24"/>
        </w:rPr>
      </w:pPr>
      <w:r w:rsidRPr="00BD5CE4">
        <w:rPr>
          <w:rFonts w:ascii="Times New Roman" w:hAnsi="Times New Roman" w:cs="Times New Roman"/>
          <w:sz w:val="24"/>
          <w:szCs w:val="24"/>
        </w:rPr>
        <w:t>Values with different superscript letters are significantly different (P &lt; 0.05)</w:t>
      </w: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eastAsia="Times New Roman" w:hAnsi="Times New Roman" w:cs="Times New Roman"/>
          <w:color w:val="000000"/>
          <w:sz w:val="24"/>
          <w:szCs w:val="24"/>
        </w:rPr>
      </w:pPr>
    </w:p>
    <w:p w:rsidR="0032536F" w:rsidRPr="00BD5CE4" w:rsidRDefault="00802C8F" w:rsidP="00E1200A">
      <w:pPr>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TABLE 5</w:t>
      </w:r>
      <w:r w:rsidR="0032536F" w:rsidRPr="00BD5CE4">
        <w:rPr>
          <w:rFonts w:ascii="Times New Roman" w:eastAsia="Times New Roman" w:hAnsi="Times New Roman" w:cs="Times New Roman"/>
          <w:color w:val="000000"/>
          <w:sz w:val="24"/>
          <w:szCs w:val="24"/>
        </w:rPr>
        <w:t xml:space="preserve">:Effect of crude CPI extract on the Packed cell volume(PCV) of </w:t>
      </w:r>
      <w:r w:rsidR="0032536F" w:rsidRPr="00BD5CE4">
        <w:rPr>
          <w:rFonts w:ascii="Times New Roman" w:eastAsia="Times New Roman" w:hAnsi="Times New Roman" w:cs="Times New Roman"/>
          <w:i/>
          <w:iCs/>
          <w:color w:val="000000"/>
          <w:sz w:val="24"/>
          <w:szCs w:val="24"/>
        </w:rPr>
        <w:t>P. berghe</w:t>
      </w:r>
      <w:r w:rsidR="0032536F" w:rsidRPr="00BD5CE4">
        <w:rPr>
          <w:rFonts w:ascii="Times New Roman" w:eastAsia="Times New Roman" w:hAnsi="Times New Roman" w:cs="Times New Roman"/>
          <w:color w:val="000000"/>
          <w:sz w:val="24"/>
          <w:szCs w:val="24"/>
        </w:rPr>
        <w:t>i infected  mice</w:t>
      </w:r>
    </w:p>
    <w:tbl>
      <w:tblPr>
        <w:tblW w:w="6076" w:type="dxa"/>
        <w:tblInd w:w="96" w:type="dxa"/>
        <w:tblLook w:val="04A0" w:firstRow="1" w:lastRow="0" w:firstColumn="1" w:lastColumn="0" w:noHBand="0" w:noVBand="1"/>
      </w:tblPr>
      <w:tblGrid>
        <w:gridCol w:w="2458"/>
        <w:gridCol w:w="1800"/>
        <w:gridCol w:w="1818"/>
      </w:tblGrid>
      <w:tr w:rsidR="0032536F" w:rsidRPr="00BD5CE4" w:rsidTr="007F2921">
        <w:trPr>
          <w:trHeight w:val="476"/>
        </w:trPr>
        <w:tc>
          <w:tcPr>
            <w:tcW w:w="2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36F" w:rsidRPr="00BD5CE4" w:rsidRDefault="0032536F" w:rsidP="00E1200A">
            <w:pPr>
              <w:spacing w:after="0" w:line="240" w:lineRule="auto"/>
              <w:jc w:val="both"/>
              <w:rPr>
                <w:rFonts w:ascii="Times New Roman" w:eastAsia="Times New Roman" w:hAnsi="Times New Roman" w:cs="Times New Roman"/>
                <w:color w:val="000000"/>
                <w:sz w:val="24"/>
                <w:szCs w:val="24"/>
              </w:rPr>
            </w:pPr>
          </w:p>
        </w:tc>
        <w:tc>
          <w:tcPr>
            <w:tcW w:w="3618" w:type="dxa"/>
            <w:gridSpan w:val="2"/>
            <w:tcBorders>
              <w:top w:val="single" w:sz="4" w:space="0" w:color="auto"/>
              <w:left w:val="nil"/>
              <w:bottom w:val="single" w:sz="4" w:space="0" w:color="auto"/>
              <w:right w:val="single" w:sz="4" w:space="0" w:color="auto"/>
            </w:tcBorders>
            <w:shd w:val="clear" w:color="auto" w:fill="auto"/>
            <w:noWrap/>
            <w:vAlign w:val="bottom"/>
            <w:hideMark/>
          </w:tcPr>
          <w:p w:rsidR="0032536F" w:rsidRPr="00BD5CE4" w:rsidRDefault="0032536F"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PVC(%)</w:t>
            </w:r>
          </w:p>
        </w:tc>
      </w:tr>
      <w:tr w:rsidR="000B579E" w:rsidRPr="00BD5CE4" w:rsidTr="007F2921">
        <w:trPr>
          <w:trHeight w:val="476"/>
        </w:trPr>
        <w:tc>
          <w:tcPr>
            <w:tcW w:w="2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 </w:t>
            </w:r>
          </w:p>
        </w:tc>
        <w:tc>
          <w:tcPr>
            <w:tcW w:w="3618" w:type="dxa"/>
            <w:gridSpan w:val="2"/>
            <w:tcBorders>
              <w:top w:val="single" w:sz="4" w:space="0" w:color="auto"/>
              <w:left w:val="nil"/>
              <w:bottom w:val="single" w:sz="4" w:space="0" w:color="auto"/>
              <w:right w:val="single" w:sz="4" w:space="0" w:color="auto"/>
            </w:tcBorders>
          </w:tcPr>
          <w:p w:rsidR="000B579E" w:rsidRPr="00BD5CE4" w:rsidRDefault="000B579E" w:rsidP="00E1200A">
            <w:pPr>
              <w:spacing w:after="0" w:line="240" w:lineRule="auto"/>
              <w:jc w:val="both"/>
              <w:rPr>
                <w:rFonts w:ascii="Times New Roman" w:hAnsi="Times New Roman" w:cs="Times New Roman"/>
                <w:i/>
                <w:sz w:val="24"/>
                <w:szCs w:val="24"/>
              </w:rPr>
            </w:pPr>
          </w:p>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hAnsi="Times New Roman" w:cs="Times New Roman"/>
                <w:i/>
                <w:sz w:val="24"/>
                <w:szCs w:val="24"/>
              </w:rPr>
              <w:t>Moringa oleifera</w:t>
            </w:r>
            <w:r w:rsidRPr="00BD5CE4">
              <w:rPr>
                <w:rFonts w:ascii="Times New Roman" w:hAnsi="Times New Roman" w:cs="Times New Roman"/>
                <w:sz w:val="24"/>
                <w:szCs w:val="24"/>
              </w:rPr>
              <w:t>(seeds)</w:t>
            </w:r>
          </w:p>
        </w:tc>
      </w:tr>
      <w:tr w:rsidR="000B579E" w:rsidRPr="00BD5CE4" w:rsidTr="007F2921">
        <w:trPr>
          <w:trHeight w:val="449"/>
        </w:trPr>
        <w:tc>
          <w:tcPr>
            <w:tcW w:w="2458" w:type="dxa"/>
            <w:tcBorders>
              <w:top w:val="nil"/>
              <w:left w:val="single" w:sz="4" w:space="0" w:color="auto"/>
              <w:bottom w:val="single" w:sz="4" w:space="0" w:color="auto"/>
              <w:right w:val="single" w:sz="4" w:space="0" w:color="auto"/>
            </w:tcBorders>
            <w:shd w:val="clear" w:color="auto" w:fill="auto"/>
            <w:noWrap/>
            <w:vAlign w:val="bottom"/>
            <w:hideMark/>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 </w:t>
            </w:r>
          </w:p>
        </w:tc>
        <w:tc>
          <w:tcPr>
            <w:tcW w:w="1800"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Pre treatment</w:t>
            </w:r>
          </w:p>
        </w:tc>
        <w:tc>
          <w:tcPr>
            <w:tcW w:w="1818"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post treatment</w:t>
            </w:r>
          </w:p>
        </w:tc>
      </w:tr>
      <w:tr w:rsidR="000B579E" w:rsidRPr="00BD5CE4" w:rsidTr="007F2921">
        <w:trPr>
          <w:trHeight w:val="440"/>
        </w:trPr>
        <w:tc>
          <w:tcPr>
            <w:tcW w:w="2458" w:type="dxa"/>
            <w:tcBorders>
              <w:top w:val="nil"/>
              <w:left w:val="single" w:sz="4" w:space="0" w:color="auto"/>
              <w:bottom w:val="single" w:sz="4" w:space="0" w:color="auto"/>
              <w:right w:val="single" w:sz="4" w:space="0" w:color="auto"/>
            </w:tcBorders>
            <w:shd w:val="clear" w:color="auto" w:fill="auto"/>
            <w:noWrap/>
            <w:vAlign w:val="bottom"/>
            <w:hideMark/>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Normal Control(PBS)</w:t>
            </w:r>
          </w:p>
        </w:tc>
        <w:tc>
          <w:tcPr>
            <w:tcW w:w="1800"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48.80±1.30</w:t>
            </w:r>
          </w:p>
        </w:tc>
        <w:tc>
          <w:tcPr>
            <w:tcW w:w="1818"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52.00±3.39</w:t>
            </w:r>
            <w:r w:rsidRPr="00BD5CE4">
              <w:rPr>
                <w:rFonts w:ascii="Times New Roman" w:eastAsia="Times New Roman" w:hAnsi="Times New Roman" w:cs="Times New Roman"/>
                <w:color w:val="000000"/>
                <w:sz w:val="24"/>
                <w:szCs w:val="24"/>
                <w:vertAlign w:val="superscript"/>
              </w:rPr>
              <w:t xml:space="preserve"> b</w:t>
            </w:r>
          </w:p>
        </w:tc>
      </w:tr>
      <w:tr w:rsidR="000B579E" w:rsidRPr="00BD5CE4" w:rsidTr="007F2921">
        <w:trPr>
          <w:trHeight w:val="440"/>
        </w:trPr>
        <w:tc>
          <w:tcPr>
            <w:tcW w:w="2458" w:type="dxa"/>
            <w:tcBorders>
              <w:top w:val="nil"/>
              <w:left w:val="single" w:sz="4" w:space="0" w:color="auto"/>
              <w:bottom w:val="single" w:sz="4" w:space="0" w:color="auto"/>
              <w:right w:val="single" w:sz="4" w:space="0" w:color="auto"/>
            </w:tcBorders>
            <w:shd w:val="clear" w:color="auto" w:fill="auto"/>
            <w:noWrap/>
            <w:vAlign w:val="bottom"/>
            <w:hideMark/>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Inhibitor  control(IC)</w:t>
            </w:r>
          </w:p>
        </w:tc>
        <w:tc>
          <w:tcPr>
            <w:tcW w:w="1800"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47.20±1.78</w:t>
            </w:r>
          </w:p>
        </w:tc>
        <w:tc>
          <w:tcPr>
            <w:tcW w:w="1818"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b/>
                <w:color w:val="000000"/>
                <w:sz w:val="24"/>
                <w:szCs w:val="24"/>
              </w:rPr>
            </w:pPr>
            <w:r w:rsidRPr="00BD5CE4">
              <w:rPr>
                <w:rFonts w:ascii="Times New Roman" w:eastAsia="Times New Roman" w:hAnsi="Times New Roman" w:cs="Times New Roman"/>
                <w:color w:val="000000"/>
                <w:sz w:val="24"/>
                <w:szCs w:val="24"/>
              </w:rPr>
              <w:t>49.20±1.30</w:t>
            </w:r>
            <w:r w:rsidRPr="00BD5CE4">
              <w:rPr>
                <w:rFonts w:ascii="Times New Roman" w:eastAsia="Times New Roman" w:hAnsi="Times New Roman" w:cs="Times New Roman"/>
                <w:color w:val="000000"/>
                <w:sz w:val="24"/>
                <w:szCs w:val="24"/>
                <w:vertAlign w:val="superscript"/>
              </w:rPr>
              <w:t xml:space="preserve"> ab</w:t>
            </w:r>
          </w:p>
        </w:tc>
      </w:tr>
      <w:tr w:rsidR="000B579E" w:rsidRPr="00BD5CE4" w:rsidTr="007F2921">
        <w:trPr>
          <w:trHeight w:val="440"/>
        </w:trPr>
        <w:tc>
          <w:tcPr>
            <w:tcW w:w="2458" w:type="dxa"/>
            <w:tcBorders>
              <w:top w:val="nil"/>
              <w:left w:val="single" w:sz="4" w:space="0" w:color="auto"/>
              <w:bottom w:val="single" w:sz="4" w:space="0" w:color="auto"/>
              <w:right w:val="single" w:sz="4" w:space="0" w:color="auto"/>
            </w:tcBorders>
            <w:shd w:val="clear" w:color="auto" w:fill="auto"/>
            <w:noWrap/>
            <w:vAlign w:val="bottom"/>
            <w:hideMark/>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Infected+PBS(negative control)</w:t>
            </w:r>
          </w:p>
        </w:tc>
        <w:tc>
          <w:tcPr>
            <w:tcW w:w="1800"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43.80±7.85</w:t>
            </w:r>
          </w:p>
        </w:tc>
        <w:tc>
          <w:tcPr>
            <w:tcW w:w="1818"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33.00±7.07</w:t>
            </w:r>
            <w:r w:rsidRPr="00BD5CE4">
              <w:rPr>
                <w:rFonts w:ascii="Times New Roman" w:eastAsia="Times New Roman" w:hAnsi="Times New Roman" w:cs="Times New Roman"/>
                <w:color w:val="000000"/>
                <w:sz w:val="24"/>
                <w:szCs w:val="24"/>
                <w:vertAlign w:val="superscript"/>
              </w:rPr>
              <w:t xml:space="preserve"> a</w:t>
            </w:r>
          </w:p>
        </w:tc>
      </w:tr>
      <w:tr w:rsidR="000B579E" w:rsidRPr="00BD5CE4" w:rsidTr="007F2921">
        <w:trPr>
          <w:trHeight w:val="440"/>
        </w:trPr>
        <w:tc>
          <w:tcPr>
            <w:tcW w:w="2458" w:type="dxa"/>
            <w:tcBorders>
              <w:top w:val="nil"/>
              <w:left w:val="single" w:sz="4" w:space="0" w:color="auto"/>
              <w:bottom w:val="single" w:sz="4" w:space="0" w:color="auto"/>
              <w:right w:val="single" w:sz="4" w:space="0" w:color="auto"/>
            </w:tcBorders>
            <w:shd w:val="clear" w:color="auto" w:fill="auto"/>
            <w:noWrap/>
            <w:vAlign w:val="bottom"/>
            <w:hideMark/>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Infected+artesunate</w:t>
            </w:r>
          </w:p>
        </w:tc>
        <w:tc>
          <w:tcPr>
            <w:tcW w:w="1800"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49.20±1.92</w:t>
            </w:r>
          </w:p>
        </w:tc>
        <w:tc>
          <w:tcPr>
            <w:tcW w:w="1818"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50.00±1.41</w:t>
            </w:r>
            <w:r w:rsidRPr="00BD5CE4">
              <w:rPr>
                <w:rFonts w:ascii="Times New Roman" w:eastAsia="Times New Roman" w:hAnsi="Times New Roman" w:cs="Times New Roman"/>
                <w:color w:val="000000"/>
                <w:sz w:val="24"/>
                <w:szCs w:val="24"/>
                <w:vertAlign w:val="superscript"/>
              </w:rPr>
              <w:t xml:space="preserve"> b</w:t>
            </w:r>
          </w:p>
        </w:tc>
      </w:tr>
      <w:tr w:rsidR="000B579E" w:rsidRPr="00BD5CE4" w:rsidTr="007F2921">
        <w:trPr>
          <w:trHeight w:val="440"/>
        </w:trPr>
        <w:tc>
          <w:tcPr>
            <w:tcW w:w="2458" w:type="dxa"/>
            <w:tcBorders>
              <w:top w:val="nil"/>
              <w:left w:val="single" w:sz="4" w:space="0" w:color="auto"/>
              <w:bottom w:val="single" w:sz="4" w:space="0" w:color="auto"/>
              <w:right w:val="single" w:sz="4" w:space="0" w:color="auto"/>
            </w:tcBorders>
            <w:shd w:val="clear" w:color="auto" w:fill="auto"/>
            <w:noWrap/>
            <w:vAlign w:val="bottom"/>
            <w:hideMark/>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 xml:space="preserve">Infected+20mg/kg </w:t>
            </w:r>
          </w:p>
        </w:tc>
        <w:tc>
          <w:tcPr>
            <w:tcW w:w="1800"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46.20±3.03</w:t>
            </w:r>
          </w:p>
        </w:tc>
        <w:tc>
          <w:tcPr>
            <w:tcW w:w="1818"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45.60±2.60</w:t>
            </w:r>
            <w:r w:rsidRPr="00BD5CE4">
              <w:rPr>
                <w:rFonts w:ascii="Times New Roman" w:eastAsia="Times New Roman" w:hAnsi="Times New Roman" w:cs="Times New Roman"/>
                <w:color w:val="000000"/>
                <w:sz w:val="24"/>
                <w:szCs w:val="24"/>
                <w:vertAlign w:val="superscript"/>
              </w:rPr>
              <w:t xml:space="preserve"> ab</w:t>
            </w:r>
          </w:p>
        </w:tc>
      </w:tr>
      <w:tr w:rsidR="000B579E" w:rsidRPr="00BD5CE4" w:rsidTr="007F2921">
        <w:trPr>
          <w:trHeight w:val="431"/>
        </w:trPr>
        <w:tc>
          <w:tcPr>
            <w:tcW w:w="2458" w:type="dxa"/>
            <w:tcBorders>
              <w:top w:val="nil"/>
              <w:left w:val="single" w:sz="4" w:space="0" w:color="auto"/>
              <w:bottom w:val="single" w:sz="4" w:space="0" w:color="auto"/>
              <w:right w:val="single" w:sz="4" w:space="0" w:color="auto"/>
            </w:tcBorders>
            <w:shd w:val="clear" w:color="auto" w:fill="auto"/>
            <w:noWrap/>
            <w:vAlign w:val="bottom"/>
            <w:hideMark/>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 xml:space="preserve">Infected+30mg/kg </w:t>
            </w:r>
          </w:p>
        </w:tc>
        <w:tc>
          <w:tcPr>
            <w:tcW w:w="1800"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48.80±1.30</w:t>
            </w:r>
          </w:p>
        </w:tc>
        <w:tc>
          <w:tcPr>
            <w:tcW w:w="1818"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45.00±4.12</w:t>
            </w:r>
            <w:r w:rsidRPr="00BD5CE4">
              <w:rPr>
                <w:rFonts w:ascii="Times New Roman" w:eastAsia="Times New Roman" w:hAnsi="Times New Roman" w:cs="Times New Roman"/>
                <w:color w:val="000000"/>
                <w:sz w:val="24"/>
                <w:szCs w:val="24"/>
                <w:vertAlign w:val="superscript"/>
              </w:rPr>
              <w:t xml:space="preserve"> b</w:t>
            </w:r>
          </w:p>
        </w:tc>
      </w:tr>
      <w:tr w:rsidR="000B579E" w:rsidRPr="00BD5CE4" w:rsidTr="007F2921">
        <w:trPr>
          <w:trHeight w:val="440"/>
        </w:trPr>
        <w:tc>
          <w:tcPr>
            <w:tcW w:w="2458" w:type="dxa"/>
            <w:tcBorders>
              <w:top w:val="nil"/>
              <w:left w:val="single" w:sz="4" w:space="0" w:color="auto"/>
              <w:bottom w:val="single" w:sz="4" w:space="0" w:color="auto"/>
              <w:right w:val="single" w:sz="4" w:space="0" w:color="auto"/>
            </w:tcBorders>
            <w:shd w:val="clear" w:color="auto" w:fill="auto"/>
            <w:noWrap/>
            <w:vAlign w:val="bottom"/>
            <w:hideMark/>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 xml:space="preserve">Infected+50mg/kg </w:t>
            </w:r>
          </w:p>
        </w:tc>
        <w:tc>
          <w:tcPr>
            <w:tcW w:w="1800"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49.80±2.16</w:t>
            </w:r>
          </w:p>
        </w:tc>
        <w:tc>
          <w:tcPr>
            <w:tcW w:w="1818" w:type="dxa"/>
            <w:tcBorders>
              <w:top w:val="nil"/>
              <w:left w:val="nil"/>
              <w:bottom w:val="single" w:sz="4" w:space="0" w:color="auto"/>
              <w:right w:val="single" w:sz="4" w:space="0" w:color="auto"/>
            </w:tcBorders>
            <w:vAlign w:val="bottom"/>
          </w:tcPr>
          <w:p w:rsidR="000B579E" w:rsidRPr="00BD5CE4" w:rsidRDefault="000B579E" w:rsidP="00E1200A">
            <w:pPr>
              <w:spacing w:after="0" w:line="240" w:lineRule="auto"/>
              <w:jc w:val="both"/>
              <w:rPr>
                <w:rFonts w:ascii="Times New Roman" w:eastAsia="Times New Roman" w:hAnsi="Times New Roman" w:cs="Times New Roman"/>
                <w:color w:val="000000"/>
                <w:sz w:val="24"/>
                <w:szCs w:val="24"/>
              </w:rPr>
            </w:pPr>
            <w:r w:rsidRPr="00BD5CE4">
              <w:rPr>
                <w:rFonts w:ascii="Times New Roman" w:eastAsia="Times New Roman" w:hAnsi="Times New Roman" w:cs="Times New Roman"/>
                <w:color w:val="000000"/>
                <w:sz w:val="24"/>
                <w:szCs w:val="24"/>
              </w:rPr>
              <w:t>46.00±1.87</w:t>
            </w:r>
            <w:r w:rsidRPr="00BD5CE4">
              <w:rPr>
                <w:rFonts w:ascii="Times New Roman" w:eastAsia="Times New Roman" w:hAnsi="Times New Roman" w:cs="Times New Roman"/>
                <w:color w:val="000000"/>
                <w:sz w:val="24"/>
                <w:szCs w:val="24"/>
                <w:vertAlign w:val="superscript"/>
              </w:rPr>
              <w:t xml:space="preserve"> b</w:t>
            </w:r>
          </w:p>
        </w:tc>
      </w:tr>
    </w:tbl>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r w:rsidRPr="00BD5CE4">
        <w:rPr>
          <w:rFonts w:ascii="Times New Roman" w:hAnsi="Times New Roman" w:cs="Times New Roman"/>
          <w:sz w:val="24"/>
          <w:szCs w:val="24"/>
        </w:rPr>
        <w:t>Values are Mean ± SEM</w:t>
      </w:r>
    </w:p>
    <w:p w:rsidR="0032536F" w:rsidRPr="00BD5CE4" w:rsidRDefault="0032536F" w:rsidP="00E1200A">
      <w:pPr>
        <w:jc w:val="both"/>
        <w:rPr>
          <w:rFonts w:ascii="Times New Roman" w:hAnsi="Times New Roman" w:cs="Times New Roman"/>
          <w:sz w:val="24"/>
          <w:szCs w:val="24"/>
        </w:rPr>
      </w:pPr>
      <w:r w:rsidRPr="00BD5CE4">
        <w:rPr>
          <w:rFonts w:ascii="Times New Roman" w:hAnsi="Times New Roman" w:cs="Times New Roman"/>
          <w:sz w:val="24"/>
          <w:szCs w:val="24"/>
        </w:rPr>
        <w:t>Values with different superscript letters  within the same column are significantly different (P &lt; 0.05)</w:t>
      </w: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r w:rsidRPr="00BD5CE4">
        <w:rPr>
          <w:rFonts w:ascii="Times New Roman" w:hAnsi="Times New Roman" w:cs="Times New Roman"/>
          <w:noProof/>
          <w:sz w:val="24"/>
          <w:szCs w:val="24"/>
        </w:rPr>
        <w:lastRenderedPageBreak/>
        <w:drawing>
          <wp:inline distT="0" distB="0" distL="0" distR="0" wp14:anchorId="44A77A5F" wp14:editId="680E7323">
            <wp:extent cx="5655714" cy="6151418"/>
            <wp:effectExtent l="0" t="0" r="2540" b="1905"/>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2536F" w:rsidRPr="00BD5CE4" w:rsidRDefault="0032536F" w:rsidP="00E1200A">
      <w:pPr>
        <w:jc w:val="both"/>
        <w:rPr>
          <w:rFonts w:ascii="Times New Roman" w:hAnsi="Times New Roman" w:cs="Times New Roman"/>
          <w:b/>
          <w:bCs/>
          <w:sz w:val="24"/>
          <w:szCs w:val="24"/>
        </w:rPr>
      </w:pPr>
    </w:p>
    <w:p w:rsidR="0032536F" w:rsidRPr="00BD5CE4" w:rsidRDefault="00A03091" w:rsidP="00E1200A">
      <w:pPr>
        <w:jc w:val="both"/>
        <w:rPr>
          <w:rFonts w:ascii="Times New Roman" w:hAnsi="Times New Roman" w:cs="Times New Roman"/>
          <w:sz w:val="24"/>
          <w:szCs w:val="24"/>
        </w:rPr>
      </w:pPr>
      <w:r w:rsidRPr="00BD5CE4">
        <w:rPr>
          <w:rFonts w:ascii="Times New Roman" w:hAnsi="Times New Roman" w:cs="Times New Roman"/>
          <w:b/>
          <w:bCs/>
          <w:sz w:val="24"/>
          <w:szCs w:val="24"/>
        </w:rPr>
        <w:t>Fig</w:t>
      </w:r>
      <w:r w:rsidR="0032536F" w:rsidRPr="00BD5CE4">
        <w:rPr>
          <w:rFonts w:ascii="Times New Roman" w:hAnsi="Times New Roman" w:cs="Times New Roman"/>
          <w:b/>
          <w:bCs/>
          <w:sz w:val="24"/>
          <w:szCs w:val="24"/>
        </w:rPr>
        <w:t>6:Percentage  survival of the experimental  mice  infected with</w:t>
      </w:r>
      <w:r w:rsidR="0032536F" w:rsidRPr="00BD5CE4">
        <w:rPr>
          <w:rFonts w:ascii="Times New Roman" w:hAnsi="Times New Roman" w:cs="Times New Roman"/>
          <w:b/>
          <w:bCs/>
          <w:i/>
          <w:iCs/>
          <w:sz w:val="24"/>
          <w:szCs w:val="24"/>
        </w:rPr>
        <w:t xml:space="preserve"> P.berghei</w:t>
      </w:r>
      <w:r w:rsidR="0032536F" w:rsidRPr="00BD5CE4">
        <w:rPr>
          <w:rFonts w:ascii="Times New Roman" w:hAnsi="Times New Roman" w:cs="Times New Roman"/>
          <w:b/>
          <w:bCs/>
          <w:sz w:val="24"/>
          <w:szCs w:val="24"/>
        </w:rPr>
        <w:t xml:space="preserve"> and treated with crude CPI from </w:t>
      </w:r>
      <w:r w:rsidR="0032536F" w:rsidRPr="00BD5CE4">
        <w:rPr>
          <w:rFonts w:ascii="Times New Roman" w:hAnsi="Times New Roman" w:cs="Times New Roman"/>
          <w:b/>
          <w:bCs/>
          <w:i/>
          <w:iCs/>
          <w:sz w:val="24"/>
          <w:szCs w:val="24"/>
        </w:rPr>
        <w:t xml:space="preserve">Moringa oleifera </w:t>
      </w:r>
      <w:r w:rsidR="0032536F" w:rsidRPr="00BD5CE4">
        <w:rPr>
          <w:rFonts w:ascii="Times New Roman" w:hAnsi="Times New Roman" w:cs="Times New Roman"/>
          <w:b/>
          <w:bCs/>
          <w:sz w:val="24"/>
          <w:szCs w:val="24"/>
        </w:rPr>
        <w:t>seeds</w:t>
      </w:r>
    </w:p>
    <w:p w:rsidR="0032536F" w:rsidRPr="00BD5CE4" w:rsidRDefault="0032536F" w:rsidP="00E1200A">
      <w:pPr>
        <w:jc w:val="both"/>
        <w:rPr>
          <w:rFonts w:ascii="Times New Roman" w:hAnsi="Times New Roman" w:cs="Times New Roman"/>
          <w:sz w:val="24"/>
          <w:szCs w:val="24"/>
        </w:rPr>
      </w:pPr>
    </w:p>
    <w:p w:rsidR="00CF362B" w:rsidRDefault="00CF362B" w:rsidP="00E1200A">
      <w:pPr>
        <w:pStyle w:val="NormalWeb"/>
        <w:tabs>
          <w:tab w:val="left" w:pos="1980"/>
        </w:tabs>
        <w:spacing w:before="0" w:beforeAutospacing="0" w:after="0" w:afterAutospacing="0"/>
        <w:jc w:val="both"/>
        <w:rPr>
          <w:b/>
        </w:rPr>
      </w:pPr>
    </w:p>
    <w:p w:rsidR="00CF362B" w:rsidRDefault="00CF362B" w:rsidP="00E1200A">
      <w:pPr>
        <w:pStyle w:val="NormalWeb"/>
        <w:tabs>
          <w:tab w:val="left" w:pos="1980"/>
        </w:tabs>
        <w:spacing w:before="0" w:beforeAutospacing="0" w:after="0" w:afterAutospacing="0"/>
        <w:jc w:val="both"/>
        <w:rPr>
          <w:b/>
        </w:rPr>
      </w:pPr>
    </w:p>
    <w:p w:rsidR="00CF362B" w:rsidRDefault="00CF362B" w:rsidP="00E1200A">
      <w:pPr>
        <w:pStyle w:val="NormalWeb"/>
        <w:tabs>
          <w:tab w:val="left" w:pos="1980"/>
        </w:tabs>
        <w:spacing w:before="0" w:beforeAutospacing="0" w:after="0" w:afterAutospacing="0"/>
        <w:jc w:val="both"/>
        <w:rPr>
          <w:b/>
        </w:rPr>
      </w:pPr>
    </w:p>
    <w:p w:rsidR="00CF362B" w:rsidRDefault="00CF362B" w:rsidP="00E1200A">
      <w:pPr>
        <w:pStyle w:val="NormalWeb"/>
        <w:tabs>
          <w:tab w:val="left" w:pos="1980"/>
        </w:tabs>
        <w:spacing w:before="0" w:beforeAutospacing="0" w:after="0" w:afterAutospacing="0"/>
        <w:jc w:val="both"/>
        <w:rPr>
          <w:b/>
        </w:rPr>
      </w:pPr>
    </w:p>
    <w:p w:rsidR="00E1200A" w:rsidRPr="00BD5CE4" w:rsidRDefault="00E1200A" w:rsidP="00E1200A">
      <w:pPr>
        <w:pStyle w:val="NormalWeb"/>
        <w:tabs>
          <w:tab w:val="left" w:pos="1980"/>
        </w:tabs>
        <w:spacing w:before="0" w:beforeAutospacing="0" w:after="0" w:afterAutospacing="0"/>
        <w:jc w:val="both"/>
      </w:pPr>
      <w:r w:rsidRPr="00BD5CE4">
        <w:rPr>
          <w:b/>
        </w:rPr>
        <w:lastRenderedPageBreak/>
        <w:t>Discussion.</w:t>
      </w:r>
      <w:r w:rsidRPr="00BD5CE4">
        <w:t xml:space="preserve"> </w:t>
      </w:r>
    </w:p>
    <w:p w:rsidR="00E1200A" w:rsidRPr="00A87687" w:rsidRDefault="00E1200A" w:rsidP="00E1200A">
      <w:pPr>
        <w:pStyle w:val="NormalWeb"/>
        <w:tabs>
          <w:tab w:val="left" w:pos="1980"/>
        </w:tabs>
        <w:spacing w:before="0" w:beforeAutospacing="0" w:after="0" w:afterAutospacing="0"/>
        <w:jc w:val="both"/>
      </w:pPr>
      <w:r w:rsidRPr="00BD5CE4">
        <w:t xml:space="preserve">Among all solvent used, phosphate buffer  had the highest  specific inhibitory activity for crude CPI from </w:t>
      </w:r>
      <w:r w:rsidR="00A03091" w:rsidRPr="00BD5CE4">
        <w:t xml:space="preserve">seeds of </w:t>
      </w:r>
      <w:r w:rsidR="00A03091" w:rsidRPr="00BD5CE4">
        <w:rPr>
          <w:i/>
        </w:rPr>
        <w:t>Moringa oleifera</w:t>
      </w:r>
      <w:r w:rsidRPr="00BD5CE4">
        <w:t>(fig.1) and this was cold acetone precipitated and used for  toxicity and invivo antimalarial activity.</w:t>
      </w:r>
    </w:p>
    <w:p w:rsidR="00E1200A" w:rsidRPr="00BD5CE4" w:rsidRDefault="00E1200A" w:rsidP="00E1200A">
      <w:pPr>
        <w:pStyle w:val="NormalWeb"/>
        <w:spacing w:before="0" w:beforeAutospacing="0" w:after="0" w:afterAutospacing="0"/>
        <w:jc w:val="both"/>
        <w:rPr>
          <w:b/>
        </w:rPr>
      </w:pPr>
    </w:p>
    <w:p w:rsidR="00E1200A" w:rsidRPr="00BD5CE4" w:rsidRDefault="00E1200A" w:rsidP="00E1200A">
      <w:pPr>
        <w:spacing w:line="240" w:lineRule="auto"/>
        <w:jc w:val="both"/>
        <w:rPr>
          <w:rFonts w:ascii="Times New Roman" w:hAnsi="Times New Roman" w:cs="Times New Roman"/>
          <w:sz w:val="24"/>
          <w:szCs w:val="24"/>
        </w:rPr>
      </w:pPr>
      <w:r w:rsidRPr="00BD5CE4">
        <w:rPr>
          <w:rFonts w:ascii="Times New Roman" w:hAnsi="Times New Roman" w:cs="Times New Roman"/>
          <w:sz w:val="24"/>
          <w:szCs w:val="24"/>
        </w:rPr>
        <w:t>The crude CPI from latex  extract showed   inhibitory   activity  against Cysteine protease of</w:t>
      </w:r>
      <w:r w:rsidRPr="00BD5CE4">
        <w:rPr>
          <w:rFonts w:ascii="Times New Roman" w:hAnsi="Times New Roman" w:cs="Times New Roman"/>
          <w:i/>
          <w:iCs/>
          <w:sz w:val="24"/>
          <w:szCs w:val="24"/>
        </w:rPr>
        <w:t xml:space="preserve"> Plasmodium berghei  </w:t>
      </w:r>
      <w:r w:rsidRPr="00BD5CE4">
        <w:rPr>
          <w:rFonts w:ascii="Times New Roman" w:hAnsi="Times New Roman" w:cs="Times New Roman"/>
          <w:sz w:val="24"/>
          <w:szCs w:val="24"/>
        </w:rPr>
        <w:t>with  IC</w:t>
      </w:r>
      <w:r w:rsidRPr="00BD5CE4">
        <w:rPr>
          <w:rFonts w:ascii="Times New Roman" w:hAnsi="Times New Roman" w:cs="Times New Roman"/>
          <w:sz w:val="24"/>
          <w:szCs w:val="24"/>
          <w:vertAlign w:val="subscript"/>
        </w:rPr>
        <w:t>50</w:t>
      </w:r>
      <w:r w:rsidR="00A03091" w:rsidRPr="00BD5CE4">
        <w:rPr>
          <w:rFonts w:ascii="Times New Roman" w:hAnsi="Times New Roman" w:cs="Times New Roman"/>
          <w:sz w:val="24"/>
          <w:szCs w:val="24"/>
        </w:rPr>
        <w:t xml:space="preserve"> value of  18</w:t>
      </w:r>
      <w:r w:rsidRPr="00BD5CE4">
        <w:rPr>
          <w:rFonts w:ascii="Times New Roman" w:hAnsi="Times New Roman" w:cs="Times New Roman"/>
          <w:sz w:val="24"/>
          <w:szCs w:val="24"/>
        </w:rPr>
        <w:t>.</w:t>
      </w:r>
      <w:r w:rsidR="00A03091" w:rsidRPr="00BD5CE4">
        <w:rPr>
          <w:rFonts w:ascii="Times New Roman" w:hAnsi="Times New Roman" w:cs="Times New Roman"/>
          <w:sz w:val="24"/>
          <w:szCs w:val="24"/>
        </w:rPr>
        <w:t>2</w:t>
      </w:r>
      <w:r w:rsidRPr="00BD5CE4">
        <w:rPr>
          <w:rFonts w:ascii="Times New Roman" w:hAnsi="Times New Roman" w:cs="Times New Roman"/>
          <w:sz w:val="24"/>
          <w:szCs w:val="24"/>
        </w:rPr>
        <w:t xml:space="preserve">0 µg/ml(fig2). Crude CPI produced a dose dependent 4-day chemosuppressive effect at the various doses used in the study corresponding to suppression of </w:t>
      </w:r>
      <w:r w:rsidR="00A03091" w:rsidRPr="00BD5CE4">
        <w:rPr>
          <w:rFonts w:ascii="Times New Roman" w:eastAsia="Times New Roman" w:hAnsi="Times New Roman" w:cs="Times New Roman"/>
          <w:color w:val="000000"/>
          <w:sz w:val="24"/>
          <w:szCs w:val="24"/>
        </w:rPr>
        <w:t xml:space="preserve">39.42%, 48.48%, 57.70% </w:t>
      </w:r>
      <w:r w:rsidR="00A03091" w:rsidRPr="00BD5CE4">
        <w:rPr>
          <w:rFonts w:ascii="Times New Roman" w:hAnsi="Times New Roman" w:cs="Times New Roman"/>
          <w:sz w:val="24"/>
          <w:szCs w:val="24"/>
        </w:rPr>
        <w:t xml:space="preserve"> by 3</w:t>
      </w:r>
      <w:r w:rsidRPr="00BD5CE4">
        <w:rPr>
          <w:rFonts w:ascii="Times New Roman" w:hAnsi="Times New Roman" w:cs="Times New Roman"/>
          <w:sz w:val="24"/>
          <w:szCs w:val="24"/>
        </w:rPr>
        <w:t>0</w:t>
      </w:r>
      <w:r w:rsidR="00A03091" w:rsidRPr="00BD5CE4">
        <w:rPr>
          <w:rFonts w:ascii="Times New Roman" w:hAnsi="Times New Roman" w:cs="Times New Roman"/>
          <w:sz w:val="24"/>
          <w:szCs w:val="24"/>
        </w:rPr>
        <w:t xml:space="preserve"> mg/kg, 5</w:t>
      </w:r>
      <w:r w:rsidRPr="00BD5CE4">
        <w:rPr>
          <w:rFonts w:ascii="Times New Roman" w:hAnsi="Times New Roman" w:cs="Times New Roman"/>
          <w:sz w:val="24"/>
          <w:szCs w:val="24"/>
        </w:rPr>
        <w:t>0mg/ kg and</w:t>
      </w:r>
      <w:r w:rsidR="00A03091" w:rsidRPr="00BD5CE4">
        <w:rPr>
          <w:rFonts w:ascii="Times New Roman" w:hAnsi="Times New Roman" w:cs="Times New Roman"/>
          <w:sz w:val="24"/>
          <w:szCs w:val="24"/>
        </w:rPr>
        <w:t xml:space="preserve"> 7</w:t>
      </w:r>
      <w:r w:rsidRPr="00BD5CE4">
        <w:rPr>
          <w:rFonts w:ascii="Times New Roman" w:hAnsi="Times New Roman" w:cs="Times New Roman"/>
          <w:sz w:val="24"/>
          <w:szCs w:val="24"/>
        </w:rPr>
        <w:t>0mg/kg crude CPI respectively (table3). All infected mice treated wi</w:t>
      </w:r>
      <w:r w:rsidR="00A03091" w:rsidRPr="00BD5CE4">
        <w:rPr>
          <w:rFonts w:ascii="Times New Roman" w:hAnsi="Times New Roman" w:cs="Times New Roman"/>
          <w:sz w:val="24"/>
          <w:szCs w:val="24"/>
        </w:rPr>
        <w:t>th 30,50 and 7</w:t>
      </w:r>
      <w:r w:rsidRPr="00BD5CE4">
        <w:rPr>
          <w:rFonts w:ascii="Times New Roman" w:hAnsi="Times New Roman" w:cs="Times New Roman"/>
          <w:sz w:val="24"/>
          <w:szCs w:val="24"/>
        </w:rPr>
        <w:t>0mg/kg. extract survived much longer than untreated group</w:t>
      </w:r>
      <w:r w:rsidR="008D616A" w:rsidRPr="00BD5CE4">
        <w:rPr>
          <w:rFonts w:ascii="Times New Roman" w:hAnsi="Times New Roman" w:cs="Times New Roman"/>
          <w:sz w:val="24"/>
          <w:szCs w:val="24"/>
        </w:rPr>
        <w:t>(fig5)</w:t>
      </w:r>
      <w:r w:rsidRPr="00BD5CE4">
        <w:rPr>
          <w:rFonts w:ascii="Times New Roman" w:hAnsi="Times New Roman" w:cs="Times New Roman"/>
          <w:sz w:val="24"/>
          <w:szCs w:val="24"/>
        </w:rPr>
        <w:t>, infected but untreated gr</w:t>
      </w:r>
      <w:r w:rsidR="00A03091" w:rsidRPr="00BD5CE4">
        <w:rPr>
          <w:rFonts w:ascii="Times New Roman" w:hAnsi="Times New Roman" w:cs="Times New Roman"/>
          <w:sz w:val="24"/>
          <w:szCs w:val="24"/>
        </w:rPr>
        <w:t>oup animals were</w:t>
      </w:r>
      <w:r w:rsidRPr="00BD5CE4">
        <w:rPr>
          <w:rFonts w:ascii="Times New Roman" w:hAnsi="Times New Roman" w:cs="Times New Roman"/>
          <w:sz w:val="24"/>
          <w:szCs w:val="24"/>
        </w:rPr>
        <w:t xml:space="preserve"> all dead by day 11 of treatment. Only mice treated with </w:t>
      </w:r>
      <w:r w:rsidR="00A03091" w:rsidRPr="00BD5CE4">
        <w:rPr>
          <w:rFonts w:ascii="Times New Roman" w:hAnsi="Times New Roman" w:cs="Times New Roman"/>
          <w:sz w:val="24"/>
          <w:szCs w:val="24"/>
        </w:rPr>
        <w:t>7</w:t>
      </w:r>
      <w:r w:rsidRPr="00BD5CE4">
        <w:rPr>
          <w:rFonts w:ascii="Times New Roman" w:hAnsi="Times New Roman" w:cs="Times New Roman"/>
          <w:sz w:val="24"/>
          <w:szCs w:val="24"/>
        </w:rPr>
        <w:t>0mg/kg</w:t>
      </w:r>
      <w:r w:rsidR="00A03091" w:rsidRPr="00BD5CE4">
        <w:rPr>
          <w:rFonts w:ascii="Times New Roman" w:hAnsi="Times New Roman" w:cs="Times New Roman"/>
          <w:sz w:val="24"/>
          <w:szCs w:val="24"/>
        </w:rPr>
        <w:t xml:space="preserve"> survived for 29</w:t>
      </w:r>
      <w:r w:rsidRPr="00BD5CE4">
        <w:rPr>
          <w:rFonts w:ascii="Times New Roman" w:hAnsi="Times New Roman" w:cs="Times New Roman"/>
          <w:sz w:val="24"/>
          <w:szCs w:val="24"/>
        </w:rPr>
        <w:t>days of treatment period with parasites persisting in circulation,gr</w:t>
      </w:r>
      <w:r w:rsidR="00A03091" w:rsidRPr="00BD5CE4">
        <w:rPr>
          <w:rFonts w:ascii="Times New Roman" w:hAnsi="Times New Roman" w:cs="Times New Roman"/>
          <w:sz w:val="24"/>
          <w:szCs w:val="24"/>
        </w:rPr>
        <w:t>ou</w:t>
      </w:r>
      <w:r w:rsidRPr="00BD5CE4">
        <w:rPr>
          <w:rFonts w:ascii="Times New Roman" w:hAnsi="Times New Roman" w:cs="Times New Roman"/>
          <w:sz w:val="24"/>
          <w:szCs w:val="24"/>
        </w:rPr>
        <w:t>p treated with stantard drug had p</w:t>
      </w:r>
      <w:r w:rsidR="00383C5A" w:rsidRPr="00BD5CE4">
        <w:rPr>
          <w:rFonts w:ascii="Times New Roman" w:hAnsi="Times New Roman" w:cs="Times New Roman"/>
          <w:sz w:val="24"/>
          <w:szCs w:val="24"/>
        </w:rPr>
        <w:t>arasites cleared completely on 11</w:t>
      </w:r>
      <w:r w:rsidRPr="00BD5CE4">
        <w:rPr>
          <w:rFonts w:ascii="Times New Roman" w:hAnsi="Times New Roman" w:cs="Times New Roman"/>
          <w:sz w:val="24"/>
          <w:szCs w:val="24"/>
        </w:rPr>
        <w:t xml:space="preserve">th day of treatment. Untreated mice parasite count increased and pcv decreased  markadly until the death of the animal, this may be as a result of destruction of red blood cells by the invasion of  parasite which may lead to erythrophagocytosis. Several in vitro and  in vivo studies using inhibitors such as peptidyl fluoromethyl ketones, vinyl sulfones, aldehydes and nonpeptidic  inhibitors inhibits cysteine protease of </w:t>
      </w:r>
      <w:r w:rsidRPr="00BD5CE4">
        <w:rPr>
          <w:rFonts w:ascii="Times New Roman" w:hAnsi="Times New Roman" w:cs="Times New Roman"/>
          <w:i/>
          <w:sz w:val="24"/>
          <w:szCs w:val="24"/>
        </w:rPr>
        <w:t xml:space="preserve">Plasmodium </w:t>
      </w:r>
      <w:r w:rsidRPr="00BD5CE4">
        <w:rPr>
          <w:rFonts w:ascii="Times New Roman" w:hAnsi="Times New Roman" w:cs="Times New Roman"/>
          <w:sz w:val="24"/>
          <w:szCs w:val="24"/>
        </w:rPr>
        <w:t xml:space="preserve"> and cure mice infected with  </w:t>
      </w:r>
      <w:r w:rsidRPr="00BD5CE4">
        <w:rPr>
          <w:rFonts w:ascii="Times New Roman" w:hAnsi="Times New Roman" w:cs="Times New Roman"/>
          <w:i/>
          <w:sz w:val="24"/>
          <w:szCs w:val="24"/>
        </w:rPr>
        <w:t>Plasmodium berghei</w:t>
      </w:r>
      <w:r w:rsidRPr="00BD5CE4">
        <w:rPr>
          <w:rFonts w:ascii="Times New Roman" w:hAnsi="Times New Roman" w:cs="Times New Roman"/>
          <w:sz w:val="24"/>
          <w:szCs w:val="24"/>
        </w:rPr>
        <w:t xml:space="preserve"> parasite(Rosenthal,2011;Mane </w:t>
      </w:r>
      <w:r w:rsidRPr="00BD5CE4">
        <w:rPr>
          <w:rFonts w:ascii="Times New Roman" w:hAnsi="Times New Roman" w:cs="Times New Roman"/>
          <w:i/>
          <w:sz w:val="24"/>
          <w:szCs w:val="24"/>
        </w:rPr>
        <w:t>et al</w:t>
      </w:r>
      <w:r w:rsidRPr="00BD5CE4">
        <w:rPr>
          <w:rFonts w:ascii="Times New Roman" w:hAnsi="Times New Roman" w:cs="Times New Roman"/>
          <w:sz w:val="24"/>
          <w:szCs w:val="24"/>
        </w:rPr>
        <w:t xml:space="preserve">,2013).Similarly(Karthik et al,2014) demonstrated  serine protease inhibitor  isolated from Marine Actinobacteria that cure </w:t>
      </w:r>
      <w:r w:rsidRPr="00BD5CE4">
        <w:rPr>
          <w:rFonts w:ascii="Times New Roman" w:hAnsi="Times New Roman" w:cs="Times New Roman"/>
          <w:i/>
          <w:sz w:val="24"/>
          <w:szCs w:val="24"/>
        </w:rPr>
        <w:t xml:space="preserve">Plasmodium berghei </w:t>
      </w:r>
      <w:r w:rsidRPr="00BD5CE4">
        <w:rPr>
          <w:rFonts w:ascii="Times New Roman" w:hAnsi="Times New Roman" w:cs="Times New Roman"/>
          <w:sz w:val="24"/>
          <w:szCs w:val="24"/>
        </w:rPr>
        <w:t xml:space="preserve"> infected mice. </w:t>
      </w:r>
    </w:p>
    <w:p w:rsidR="00E1200A" w:rsidRPr="00E9162D" w:rsidRDefault="00383C5A" w:rsidP="00E1200A">
      <w:pPr>
        <w:spacing w:after="0" w:line="240" w:lineRule="auto"/>
        <w:jc w:val="both"/>
        <w:rPr>
          <w:rFonts w:ascii="Times New Roman" w:eastAsia="Times New Roman" w:hAnsi="Times New Roman" w:cs="Times New Roman"/>
          <w:sz w:val="24"/>
          <w:szCs w:val="24"/>
        </w:rPr>
      </w:pPr>
      <w:r w:rsidRPr="00BD5CE4">
        <w:rPr>
          <w:rFonts w:ascii="Times New Roman" w:hAnsi="Times New Roman" w:cs="Times New Roman"/>
          <w:sz w:val="24"/>
          <w:szCs w:val="24"/>
        </w:rPr>
        <w:t>Subchronic toxicity of  the extract  at all concentrated used for treatment revealed  statistical significant elevation of  Body weight of mice and Triacylglycerol level,while  at 50 and  70mg/kg body weight concentration  there was significant increase in Glucose concentration.Total protein  and Alanine transaminase were found to be  elevated  at extract concentration of 50mg/kg body weight, but no significant changes were observed in  Packed cell volume, Aspartate</w:t>
      </w:r>
      <w:r w:rsidR="003208E7" w:rsidRPr="00BD5CE4">
        <w:rPr>
          <w:rFonts w:ascii="Times New Roman" w:hAnsi="Times New Roman" w:cs="Times New Roman"/>
          <w:sz w:val="24"/>
          <w:szCs w:val="24"/>
        </w:rPr>
        <w:t xml:space="preserve"> transaminase and Alkaline phosp</w:t>
      </w:r>
      <w:r w:rsidRPr="00BD5CE4">
        <w:rPr>
          <w:rFonts w:ascii="Times New Roman" w:hAnsi="Times New Roman" w:cs="Times New Roman"/>
          <w:sz w:val="24"/>
          <w:szCs w:val="24"/>
        </w:rPr>
        <w:t>hate enzyme</w:t>
      </w:r>
      <w:r w:rsidR="00E1200A" w:rsidRPr="00BD5CE4">
        <w:rPr>
          <w:rFonts w:ascii="Times New Roman" w:eastAsia="Times New Roman" w:hAnsi="Times New Roman" w:cs="Times New Roman"/>
          <w:sz w:val="24"/>
          <w:szCs w:val="24"/>
        </w:rPr>
        <w:t>.</w:t>
      </w:r>
      <w:r w:rsidR="00A72F5E" w:rsidRPr="00BD5CE4">
        <w:rPr>
          <w:rFonts w:ascii="Times New Roman" w:hAnsi="Times New Roman" w:cs="Times New Roman"/>
          <w:bCs/>
          <w:sz w:val="24"/>
          <w:szCs w:val="24"/>
        </w:rPr>
        <w:t xml:space="preserve"> Olasehinde </w:t>
      </w:r>
      <w:r w:rsidR="00A72F5E" w:rsidRPr="00BD5CE4">
        <w:rPr>
          <w:rFonts w:ascii="Times New Roman" w:hAnsi="Times New Roman" w:cs="Times New Roman"/>
          <w:bCs/>
          <w:i/>
          <w:sz w:val="24"/>
          <w:szCs w:val="24"/>
        </w:rPr>
        <w:t>et al</w:t>
      </w:r>
      <w:r w:rsidR="00A72F5E" w:rsidRPr="00BD5CE4">
        <w:rPr>
          <w:rFonts w:ascii="Times New Roman" w:hAnsi="Times New Roman" w:cs="Times New Roman"/>
          <w:bCs/>
          <w:sz w:val="24"/>
          <w:szCs w:val="24"/>
        </w:rPr>
        <w:t>,2012) had ealiar reported</w:t>
      </w:r>
      <w:r w:rsidR="00E1200A" w:rsidRPr="00BD5CE4">
        <w:rPr>
          <w:rFonts w:ascii="Times New Roman" w:hAnsi="Times New Roman" w:cs="Times New Roman"/>
          <w:sz w:val="24"/>
          <w:szCs w:val="24"/>
        </w:rPr>
        <w:t xml:space="preserve"> </w:t>
      </w:r>
      <w:r w:rsidR="00A72F5E" w:rsidRPr="00BD5CE4">
        <w:rPr>
          <w:rFonts w:ascii="Times New Roman" w:hAnsi="Times New Roman" w:cs="Times New Roman"/>
          <w:sz w:val="24"/>
          <w:szCs w:val="24"/>
        </w:rPr>
        <w:t xml:space="preserve"> antimalarial activities with toxicity at 200mg/kg body weight of plasmodium infected mice.</w:t>
      </w:r>
      <w:r w:rsidR="00E1200A" w:rsidRPr="00BD5CE4">
        <w:rPr>
          <w:rFonts w:ascii="Times New Roman" w:hAnsi="Times New Roman" w:cs="Times New Roman"/>
          <w:sz w:val="24"/>
          <w:szCs w:val="24"/>
        </w:rPr>
        <w:t xml:space="preserve">Crude cysteine protease inhibitor  from </w:t>
      </w:r>
      <w:r w:rsidRPr="00BD5CE4">
        <w:rPr>
          <w:rFonts w:ascii="Times New Roman" w:hAnsi="Times New Roman" w:cs="Times New Roman"/>
          <w:sz w:val="24"/>
          <w:szCs w:val="24"/>
        </w:rPr>
        <w:t xml:space="preserve">seeds of </w:t>
      </w:r>
      <w:r w:rsidRPr="00BD5CE4">
        <w:rPr>
          <w:rFonts w:ascii="Times New Roman" w:hAnsi="Times New Roman" w:cs="Times New Roman"/>
          <w:i/>
          <w:sz w:val="24"/>
          <w:szCs w:val="24"/>
        </w:rPr>
        <w:t>Moringa oleifera</w:t>
      </w:r>
      <w:r w:rsidR="00E1200A" w:rsidRPr="00BD5CE4">
        <w:rPr>
          <w:rFonts w:ascii="Times New Roman" w:hAnsi="Times New Roman" w:cs="Times New Roman"/>
          <w:i/>
          <w:iCs/>
          <w:sz w:val="24"/>
          <w:szCs w:val="24"/>
          <w:lang w:val="en-GB"/>
        </w:rPr>
        <w:t xml:space="preserve"> </w:t>
      </w:r>
      <w:r w:rsidR="00E1200A" w:rsidRPr="00BD5CE4">
        <w:rPr>
          <w:rFonts w:ascii="Times New Roman" w:hAnsi="Times New Roman" w:cs="Times New Roman"/>
          <w:sz w:val="24"/>
          <w:szCs w:val="24"/>
        </w:rPr>
        <w:t xml:space="preserve">is active against </w:t>
      </w:r>
      <w:r w:rsidR="00E1200A" w:rsidRPr="00BD5CE4">
        <w:rPr>
          <w:rFonts w:ascii="Times New Roman" w:hAnsi="Times New Roman" w:cs="Times New Roman"/>
          <w:i/>
          <w:sz w:val="24"/>
          <w:szCs w:val="24"/>
        </w:rPr>
        <w:t>plasmodium berghei</w:t>
      </w:r>
      <w:r w:rsidR="00E1200A" w:rsidRPr="00BD5CE4">
        <w:rPr>
          <w:rFonts w:ascii="Times New Roman" w:hAnsi="Times New Roman" w:cs="Times New Roman"/>
          <w:sz w:val="24"/>
          <w:szCs w:val="24"/>
        </w:rPr>
        <w:t xml:space="preserve"> Cysteine Protease , with considerable invivo antiplasmodial activity in a rodent malaria model and low toxicity of extract</w:t>
      </w:r>
      <w:r w:rsidR="00A72F5E" w:rsidRPr="00BD5CE4">
        <w:rPr>
          <w:rFonts w:ascii="Times New Roman" w:hAnsi="Times New Roman" w:cs="Times New Roman"/>
          <w:sz w:val="24"/>
          <w:szCs w:val="24"/>
        </w:rPr>
        <w:t xml:space="preserve"> in mice</w:t>
      </w:r>
      <w:r w:rsidR="00E1200A" w:rsidRPr="00BD5CE4">
        <w:rPr>
          <w:rFonts w:ascii="Times New Roman" w:hAnsi="Times New Roman" w:cs="Times New Roman"/>
          <w:sz w:val="24"/>
          <w:szCs w:val="24"/>
        </w:rPr>
        <w:t xml:space="preserve"> </w:t>
      </w:r>
      <w:r w:rsidRPr="00BD5CE4">
        <w:rPr>
          <w:rFonts w:ascii="Times New Roman" w:hAnsi="Times New Roman" w:cs="Times New Roman"/>
          <w:sz w:val="24"/>
          <w:szCs w:val="24"/>
        </w:rPr>
        <w:t>.</w:t>
      </w:r>
      <w:r w:rsidR="00E1200A" w:rsidRPr="00BD5CE4">
        <w:rPr>
          <w:rFonts w:ascii="Times New Roman" w:hAnsi="Times New Roman" w:cs="Times New Roman"/>
          <w:sz w:val="24"/>
          <w:szCs w:val="24"/>
        </w:rPr>
        <w:t>our group is currently embarking on purification of this inhibitor from the plant using Hydrophobic chromatography.</w:t>
      </w:r>
    </w:p>
    <w:p w:rsidR="00E1200A" w:rsidRPr="00BD5CE4" w:rsidRDefault="00E1200A" w:rsidP="00E1200A">
      <w:pPr>
        <w:spacing w:line="240" w:lineRule="auto"/>
        <w:jc w:val="both"/>
        <w:rPr>
          <w:rFonts w:ascii="Times New Roman" w:hAnsi="Times New Roman" w:cs="Times New Roman"/>
          <w:b/>
          <w:sz w:val="24"/>
          <w:szCs w:val="24"/>
        </w:rPr>
      </w:pPr>
    </w:p>
    <w:p w:rsidR="00E1200A" w:rsidRPr="00BD5CE4" w:rsidRDefault="00E1200A" w:rsidP="00E1200A">
      <w:pPr>
        <w:spacing w:line="240" w:lineRule="auto"/>
        <w:jc w:val="both"/>
        <w:rPr>
          <w:rFonts w:ascii="Times New Roman" w:hAnsi="Times New Roman" w:cs="Times New Roman"/>
          <w:b/>
          <w:sz w:val="24"/>
          <w:szCs w:val="24"/>
        </w:rPr>
      </w:pPr>
      <w:r w:rsidRPr="00BD5CE4">
        <w:rPr>
          <w:rFonts w:ascii="Times New Roman" w:hAnsi="Times New Roman" w:cs="Times New Roman"/>
          <w:b/>
          <w:sz w:val="24"/>
          <w:szCs w:val="24"/>
        </w:rPr>
        <w:t>Aknowledgement.</w:t>
      </w:r>
    </w:p>
    <w:p w:rsidR="00E1200A" w:rsidRPr="00BD5CE4" w:rsidRDefault="00E1200A" w:rsidP="00E1200A">
      <w:pPr>
        <w:spacing w:line="240" w:lineRule="auto"/>
        <w:jc w:val="both"/>
        <w:rPr>
          <w:rFonts w:ascii="Times New Roman" w:hAnsi="Times New Roman" w:cs="Times New Roman"/>
          <w:sz w:val="24"/>
          <w:szCs w:val="24"/>
        </w:rPr>
      </w:pPr>
      <w:r w:rsidRPr="00BD5CE4">
        <w:rPr>
          <w:rFonts w:ascii="Times New Roman" w:hAnsi="Times New Roman" w:cs="Times New Roman"/>
          <w:sz w:val="24"/>
          <w:szCs w:val="24"/>
        </w:rPr>
        <w:t xml:space="preserve">We are grateful to University board of research(UBR),Federal University of Technology,Minna for supporting this work and Mal.Y.Y.Pala of Veterinary Teaching Hospital for his support. </w:t>
      </w:r>
    </w:p>
    <w:p w:rsidR="00E1200A" w:rsidRPr="00BD5CE4" w:rsidRDefault="00E1200A" w:rsidP="00E1200A">
      <w:pPr>
        <w:spacing w:line="240" w:lineRule="auto"/>
        <w:jc w:val="both"/>
        <w:rPr>
          <w:rFonts w:ascii="Times New Roman" w:hAnsi="Times New Roman" w:cs="Times New Roman"/>
          <w:b/>
          <w:sz w:val="24"/>
          <w:szCs w:val="24"/>
        </w:rPr>
      </w:pPr>
      <w:r w:rsidRPr="00BD5CE4">
        <w:rPr>
          <w:rFonts w:ascii="Times New Roman" w:hAnsi="Times New Roman" w:cs="Times New Roman"/>
          <w:b/>
          <w:sz w:val="24"/>
          <w:szCs w:val="24"/>
        </w:rPr>
        <w:t>Reference.</w:t>
      </w:r>
    </w:p>
    <w:p w:rsidR="00E1200A" w:rsidRPr="00BD5CE4" w:rsidRDefault="00E1200A" w:rsidP="00E1200A">
      <w:pPr>
        <w:autoSpaceDE w:val="0"/>
        <w:autoSpaceDN w:val="0"/>
        <w:adjustRightInd w:val="0"/>
        <w:spacing w:after="0" w:line="240" w:lineRule="auto"/>
        <w:ind w:left="720" w:hanging="720"/>
        <w:jc w:val="both"/>
        <w:rPr>
          <w:rFonts w:ascii="Times New Roman" w:hAnsi="Times New Roman" w:cs="Times New Roman"/>
          <w:bCs/>
          <w:sz w:val="24"/>
          <w:szCs w:val="24"/>
        </w:rPr>
      </w:pPr>
      <w:r w:rsidRPr="00BD5CE4">
        <w:rPr>
          <w:rFonts w:ascii="Times New Roman" w:hAnsi="Times New Roman" w:cs="Times New Roman"/>
          <w:sz w:val="24"/>
          <w:szCs w:val="24"/>
        </w:rPr>
        <w:t>Amlabu,E.,Nok,A.J.,Inuwa, H.M.,Akin-osanaiye, B.C., Haruna, E. (</w:t>
      </w:r>
      <w:r w:rsidRPr="00BD5CE4">
        <w:rPr>
          <w:rFonts w:ascii="Times New Roman" w:hAnsi="Times New Roman" w:cs="Times New Roman"/>
          <w:iCs/>
          <w:sz w:val="24"/>
          <w:szCs w:val="24"/>
        </w:rPr>
        <w:t>2011).</w:t>
      </w:r>
      <w:r w:rsidRPr="00BD5CE4">
        <w:rPr>
          <w:rFonts w:ascii="Times New Roman" w:hAnsi="Times New Roman" w:cs="Times New Roman"/>
          <w:bCs/>
          <w:sz w:val="24"/>
          <w:szCs w:val="24"/>
        </w:rPr>
        <w:t xml:space="preserve"> Cysteine protease </w:t>
      </w:r>
    </w:p>
    <w:p w:rsidR="00E1200A" w:rsidRPr="00BD5CE4" w:rsidRDefault="00E1200A" w:rsidP="00E1200A">
      <w:pPr>
        <w:autoSpaceDE w:val="0"/>
        <w:autoSpaceDN w:val="0"/>
        <w:adjustRightInd w:val="0"/>
        <w:spacing w:after="0" w:line="240" w:lineRule="auto"/>
        <w:ind w:left="720" w:hanging="720"/>
        <w:jc w:val="both"/>
        <w:rPr>
          <w:rFonts w:ascii="Times New Roman" w:hAnsi="Times New Roman" w:cs="Times New Roman"/>
          <w:bCs/>
          <w:sz w:val="24"/>
          <w:szCs w:val="24"/>
        </w:rPr>
      </w:pPr>
      <w:r w:rsidRPr="00BD5CE4">
        <w:rPr>
          <w:rFonts w:ascii="Times New Roman" w:hAnsi="Times New Roman" w:cs="Times New Roman"/>
          <w:bCs/>
          <w:sz w:val="24"/>
          <w:szCs w:val="24"/>
        </w:rPr>
        <w:t xml:space="preserve">                     from the malaria parasite, </w:t>
      </w:r>
      <w:r w:rsidRPr="00BD5CE4">
        <w:rPr>
          <w:rFonts w:ascii="Times New Roman" w:hAnsi="Times New Roman" w:cs="Times New Roman"/>
          <w:bCs/>
          <w:i/>
          <w:iCs/>
          <w:sz w:val="24"/>
          <w:szCs w:val="24"/>
        </w:rPr>
        <w:t xml:space="preserve">Plasmodium berghei </w:t>
      </w:r>
      <w:r w:rsidRPr="00BD5CE4">
        <w:rPr>
          <w:rFonts w:ascii="Times New Roman" w:hAnsi="Times New Roman" w:cs="Times New Roman"/>
          <w:bCs/>
          <w:sz w:val="24"/>
          <w:szCs w:val="24"/>
        </w:rPr>
        <w:t xml:space="preserve">purification and biochemical </w:t>
      </w:r>
    </w:p>
    <w:p w:rsidR="00E1200A" w:rsidRPr="00BD5CE4" w:rsidRDefault="00E1200A" w:rsidP="00E1200A">
      <w:pPr>
        <w:autoSpaceDE w:val="0"/>
        <w:autoSpaceDN w:val="0"/>
        <w:adjustRightInd w:val="0"/>
        <w:spacing w:after="0" w:line="240" w:lineRule="auto"/>
        <w:ind w:left="720" w:hanging="720"/>
        <w:jc w:val="both"/>
        <w:rPr>
          <w:rFonts w:ascii="Times New Roman" w:hAnsi="Times New Roman" w:cs="Times New Roman"/>
          <w:bCs/>
          <w:sz w:val="24"/>
          <w:szCs w:val="24"/>
        </w:rPr>
      </w:pPr>
      <w:r w:rsidRPr="00BD5CE4">
        <w:rPr>
          <w:rFonts w:ascii="Times New Roman" w:hAnsi="Times New Roman" w:cs="Times New Roman"/>
          <w:bCs/>
          <w:sz w:val="24"/>
          <w:szCs w:val="24"/>
        </w:rPr>
        <w:t xml:space="preserve">                    characterization.</w:t>
      </w:r>
      <w:r w:rsidRPr="00BD5CE4">
        <w:rPr>
          <w:rFonts w:ascii="Times New Roman" w:hAnsi="Times New Roman" w:cs="Times New Roman"/>
          <w:i/>
          <w:iCs/>
          <w:sz w:val="24"/>
          <w:szCs w:val="24"/>
        </w:rPr>
        <w:t xml:space="preserve"> Journal of Cell and Molecular Biology. 9(2): 43-49, </w:t>
      </w:r>
    </w:p>
    <w:p w:rsidR="00E1200A" w:rsidRPr="00BD5CE4" w:rsidRDefault="00E1200A" w:rsidP="00E1200A">
      <w:pPr>
        <w:spacing w:line="240" w:lineRule="auto"/>
        <w:jc w:val="both"/>
        <w:rPr>
          <w:rFonts w:ascii="Times New Roman" w:hAnsi="Times New Roman" w:cs="Times New Roman"/>
          <w:sz w:val="24"/>
          <w:szCs w:val="24"/>
        </w:rPr>
      </w:pPr>
    </w:p>
    <w:p w:rsidR="00E1200A" w:rsidRPr="00BD5CE4" w:rsidRDefault="00E1200A" w:rsidP="00E1200A">
      <w:pPr>
        <w:spacing w:line="240" w:lineRule="auto"/>
        <w:jc w:val="both"/>
        <w:rPr>
          <w:rFonts w:ascii="Times New Roman" w:hAnsi="Times New Roman" w:cs="Times New Roman"/>
          <w:sz w:val="24"/>
          <w:szCs w:val="24"/>
        </w:rPr>
      </w:pPr>
      <w:r w:rsidRPr="00BD5CE4">
        <w:rPr>
          <w:rFonts w:ascii="Times New Roman" w:hAnsi="Times New Roman" w:cs="Times New Roman"/>
          <w:sz w:val="24"/>
          <w:szCs w:val="24"/>
        </w:rPr>
        <w:t>World malaria report (2012). World Health Organization:Geneva, Switzerland.</w:t>
      </w:r>
    </w:p>
    <w:p w:rsidR="00E1200A" w:rsidRPr="00BD5CE4" w:rsidRDefault="00E1200A" w:rsidP="00E1200A">
      <w:pPr>
        <w:autoSpaceDE w:val="0"/>
        <w:autoSpaceDN w:val="0"/>
        <w:adjustRightInd w:val="0"/>
        <w:spacing w:after="0" w:line="240" w:lineRule="auto"/>
        <w:ind w:left="720" w:hanging="720"/>
        <w:jc w:val="both"/>
        <w:rPr>
          <w:rFonts w:ascii="Times New Roman" w:hAnsi="Times New Roman" w:cs="Times New Roman"/>
          <w:sz w:val="24"/>
          <w:szCs w:val="24"/>
        </w:rPr>
      </w:pPr>
      <w:r w:rsidRPr="00BD5CE4">
        <w:rPr>
          <w:rFonts w:ascii="Times New Roman" w:hAnsi="Times New Roman" w:cs="Times New Roman"/>
          <w:sz w:val="24"/>
          <w:szCs w:val="24"/>
        </w:rPr>
        <w:lastRenderedPageBreak/>
        <w:t>Bradford, M.M.(1976). A rapid and sensitive method for the quantitation of  micrograms quantities for proteins utilizing the principle of proteindye binding. Anal. Biochem. 72, 248–254.</w:t>
      </w:r>
    </w:p>
    <w:p w:rsidR="00E1200A" w:rsidRPr="00BD5CE4" w:rsidRDefault="00E1200A" w:rsidP="00E1200A">
      <w:pPr>
        <w:autoSpaceDE w:val="0"/>
        <w:autoSpaceDN w:val="0"/>
        <w:adjustRightInd w:val="0"/>
        <w:spacing w:after="0" w:line="240" w:lineRule="auto"/>
        <w:ind w:left="720" w:hanging="720"/>
        <w:jc w:val="both"/>
        <w:rPr>
          <w:rFonts w:ascii="Times New Roman" w:hAnsi="Times New Roman" w:cs="Times New Roman"/>
          <w:sz w:val="24"/>
          <w:szCs w:val="24"/>
        </w:rPr>
      </w:pPr>
    </w:p>
    <w:p w:rsidR="00E1200A" w:rsidRPr="00BD5CE4" w:rsidRDefault="00E1200A" w:rsidP="00E1200A">
      <w:pPr>
        <w:spacing w:line="240" w:lineRule="auto"/>
        <w:ind w:left="720" w:hanging="720"/>
        <w:jc w:val="both"/>
        <w:rPr>
          <w:rFonts w:ascii="Times New Roman" w:hAnsi="Times New Roman" w:cs="Times New Roman"/>
          <w:sz w:val="24"/>
          <w:szCs w:val="24"/>
        </w:rPr>
      </w:pPr>
      <w:r w:rsidRPr="00BD5CE4">
        <w:rPr>
          <w:rFonts w:ascii="Times New Roman" w:hAnsi="Times New Roman" w:cs="Times New Roman"/>
          <w:sz w:val="24"/>
          <w:szCs w:val="24"/>
        </w:rPr>
        <w:t>Ceros, M. and Carbonell,</w:t>
      </w:r>
      <w:r w:rsidR="00802C8F" w:rsidRPr="00BD5CE4">
        <w:rPr>
          <w:rFonts w:ascii="Times New Roman" w:hAnsi="Times New Roman" w:cs="Times New Roman"/>
          <w:sz w:val="24"/>
          <w:szCs w:val="24"/>
        </w:rPr>
        <w:t xml:space="preserve"> J. (1993) Purification and cha</w:t>
      </w:r>
      <w:r w:rsidRPr="00BD5CE4">
        <w:rPr>
          <w:rFonts w:ascii="Times New Roman" w:hAnsi="Times New Roman" w:cs="Times New Roman"/>
          <w:sz w:val="24"/>
          <w:szCs w:val="24"/>
        </w:rPr>
        <w:t>racterization of thiol-protease induced during sen</w:t>
      </w:r>
      <w:r w:rsidR="00802C8F" w:rsidRPr="00BD5CE4">
        <w:rPr>
          <w:rFonts w:ascii="Times New Roman" w:hAnsi="Times New Roman" w:cs="Times New Roman"/>
          <w:sz w:val="24"/>
          <w:szCs w:val="24"/>
        </w:rPr>
        <w:t>es</w:t>
      </w:r>
      <w:r w:rsidRPr="00BD5CE4">
        <w:rPr>
          <w:rFonts w:ascii="Times New Roman" w:hAnsi="Times New Roman" w:cs="Times New Roman"/>
          <w:sz w:val="24"/>
          <w:szCs w:val="24"/>
        </w:rPr>
        <w:t xml:space="preserve">cence of unpollinated ovaries of  </w:t>
      </w:r>
      <w:r w:rsidRPr="00BD5CE4">
        <w:rPr>
          <w:rFonts w:ascii="Times New Roman" w:hAnsi="Times New Roman" w:cs="Times New Roman"/>
          <w:i/>
          <w:sz w:val="24"/>
          <w:szCs w:val="24"/>
        </w:rPr>
        <w:t>Pisum sativum</w:t>
      </w:r>
      <w:r w:rsidRPr="00BD5CE4">
        <w:rPr>
          <w:rFonts w:ascii="Times New Roman" w:hAnsi="Times New Roman" w:cs="Times New Roman"/>
          <w:sz w:val="24"/>
          <w:szCs w:val="24"/>
        </w:rPr>
        <w:t xml:space="preserve">. </w:t>
      </w:r>
      <w:r w:rsidRPr="00BD5CE4">
        <w:rPr>
          <w:rFonts w:ascii="Times New Roman" w:hAnsi="Times New Roman" w:cs="Times New Roman"/>
          <w:i/>
          <w:sz w:val="24"/>
          <w:szCs w:val="24"/>
        </w:rPr>
        <w:t>Physiology Plant</w:t>
      </w:r>
      <w:r w:rsidRPr="00BD5CE4">
        <w:rPr>
          <w:rFonts w:ascii="Times New Roman" w:hAnsi="Times New Roman" w:cs="Times New Roman"/>
          <w:sz w:val="24"/>
          <w:szCs w:val="24"/>
        </w:rPr>
        <w:t xml:space="preserve">. 88, 267-274. </w:t>
      </w:r>
    </w:p>
    <w:p w:rsidR="00E1200A" w:rsidRPr="00BD5CE4" w:rsidRDefault="00E1200A" w:rsidP="00E1200A">
      <w:pPr>
        <w:autoSpaceDE w:val="0"/>
        <w:autoSpaceDN w:val="0"/>
        <w:adjustRightInd w:val="0"/>
        <w:spacing w:after="0" w:line="240" w:lineRule="auto"/>
        <w:jc w:val="both"/>
        <w:rPr>
          <w:rFonts w:ascii="Times New Roman" w:hAnsi="Times New Roman" w:cs="Times New Roman"/>
          <w:sz w:val="24"/>
          <w:szCs w:val="24"/>
        </w:rPr>
      </w:pPr>
    </w:p>
    <w:p w:rsidR="00E1200A" w:rsidRPr="00BD5CE4" w:rsidRDefault="00E1200A" w:rsidP="00E1200A">
      <w:pPr>
        <w:autoSpaceDE w:val="0"/>
        <w:autoSpaceDN w:val="0"/>
        <w:adjustRightInd w:val="0"/>
        <w:spacing w:after="0" w:line="240" w:lineRule="auto"/>
        <w:ind w:left="720" w:hanging="720"/>
        <w:jc w:val="both"/>
        <w:rPr>
          <w:rFonts w:ascii="Times New Roman" w:hAnsi="Times New Roman" w:cs="Times New Roman"/>
          <w:sz w:val="24"/>
          <w:szCs w:val="24"/>
        </w:rPr>
      </w:pPr>
      <w:r w:rsidRPr="00BD5CE4">
        <w:rPr>
          <w:rFonts w:ascii="Times New Roman" w:eastAsia="GulliverRM" w:hAnsi="Times New Roman" w:cs="Times New Roman"/>
          <w:sz w:val="24"/>
          <w:szCs w:val="24"/>
        </w:rPr>
        <w:t xml:space="preserve"> </w:t>
      </w:r>
      <w:r w:rsidRPr="00BD5CE4">
        <w:rPr>
          <w:rFonts w:ascii="Times New Roman" w:hAnsi="Times New Roman" w:cs="Times New Roman"/>
          <w:sz w:val="24"/>
          <w:szCs w:val="24"/>
        </w:rPr>
        <w:t>Dondorp</w:t>
      </w:r>
      <w:r w:rsidR="00B854FC" w:rsidRPr="00BD5CE4">
        <w:rPr>
          <w:rFonts w:ascii="Times New Roman" w:hAnsi="Times New Roman" w:cs="Times New Roman"/>
          <w:sz w:val="24"/>
          <w:szCs w:val="24"/>
        </w:rPr>
        <w:t>,</w:t>
      </w:r>
      <w:r w:rsidRPr="00BD5CE4">
        <w:rPr>
          <w:rFonts w:ascii="Times New Roman" w:hAnsi="Times New Roman" w:cs="Times New Roman"/>
          <w:sz w:val="24"/>
          <w:szCs w:val="24"/>
        </w:rPr>
        <w:t xml:space="preserve"> A. M., Nosten F., Yi .P. (2009)., “Artemisinin resistance in </w:t>
      </w:r>
      <w:r w:rsidRPr="00BD5CE4">
        <w:rPr>
          <w:rFonts w:ascii="Times New Roman" w:hAnsi="Times New Roman" w:cs="Times New Roman"/>
          <w:i/>
          <w:iCs/>
          <w:sz w:val="24"/>
          <w:szCs w:val="24"/>
        </w:rPr>
        <w:t xml:space="preserve">Plasmodium falciparum </w:t>
      </w:r>
      <w:r w:rsidRPr="00BD5CE4">
        <w:rPr>
          <w:rFonts w:ascii="Times New Roman" w:hAnsi="Times New Roman" w:cs="Times New Roman"/>
          <w:sz w:val="24"/>
          <w:szCs w:val="24"/>
        </w:rPr>
        <w:t xml:space="preserve">malaria,” </w:t>
      </w:r>
      <w:r w:rsidRPr="00BD5CE4">
        <w:rPr>
          <w:rFonts w:ascii="Times New Roman" w:hAnsi="Times New Roman" w:cs="Times New Roman"/>
          <w:i/>
          <w:iCs/>
          <w:sz w:val="24"/>
          <w:szCs w:val="24"/>
        </w:rPr>
        <w:t>The New England Journal of Medicine</w:t>
      </w:r>
      <w:r w:rsidRPr="00BD5CE4">
        <w:rPr>
          <w:rFonts w:ascii="Times New Roman" w:hAnsi="Times New Roman" w:cs="Times New Roman"/>
          <w:sz w:val="24"/>
          <w:szCs w:val="24"/>
        </w:rPr>
        <w:t>, vol. 361, no. 5, pp. 455–467.</w:t>
      </w:r>
    </w:p>
    <w:p w:rsidR="00E1200A" w:rsidRPr="00BD5CE4" w:rsidRDefault="00B854FC" w:rsidP="00E1200A">
      <w:pPr>
        <w:autoSpaceDE w:val="0"/>
        <w:autoSpaceDN w:val="0"/>
        <w:adjustRightInd w:val="0"/>
        <w:spacing w:after="0" w:line="240" w:lineRule="auto"/>
        <w:ind w:left="720" w:hanging="720"/>
        <w:jc w:val="both"/>
        <w:rPr>
          <w:rFonts w:ascii="Times New Roman" w:hAnsi="Times New Roman" w:cs="Times New Roman"/>
          <w:sz w:val="24"/>
          <w:szCs w:val="24"/>
        </w:rPr>
      </w:pPr>
      <w:r w:rsidRPr="00BD5CE4">
        <w:rPr>
          <w:rFonts w:ascii="Times New Roman" w:hAnsi="Times New Roman" w:cs="Times New Roman"/>
          <w:sz w:val="24"/>
          <w:szCs w:val="24"/>
        </w:rPr>
        <w:t xml:space="preserve">Gidamis, A.B, Panga, S.V, Sarwatt, B.E., Chove, N.B (2003). Nutrient and Antinutrient Contents in Raw and Cooked Young Leaves and Immature Pods Of </w:t>
      </w:r>
      <w:r w:rsidRPr="00BD5CE4">
        <w:rPr>
          <w:rFonts w:ascii="Times New Roman" w:hAnsi="Times New Roman" w:cs="Times New Roman"/>
          <w:i/>
          <w:iCs/>
          <w:sz w:val="24"/>
          <w:szCs w:val="24"/>
        </w:rPr>
        <w:t>Moringa oleifera</w:t>
      </w:r>
      <w:r w:rsidRPr="00BD5CE4">
        <w:rPr>
          <w:rFonts w:ascii="Times New Roman" w:hAnsi="Times New Roman" w:cs="Times New Roman"/>
          <w:sz w:val="24"/>
          <w:szCs w:val="24"/>
        </w:rPr>
        <w:t>. Eco. Food Nutr., 42(6): 399-411.</w:t>
      </w:r>
    </w:p>
    <w:p w:rsidR="00E1200A" w:rsidRPr="00BD5CE4" w:rsidRDefault="00E1200A" w:rsidP="00E1200A">
      <w:pPr>
        <w:spacing w:line="360" w:lineRule="auto"/>
        <w:ind w:left="720" w:hanging="720"/>
        <w:jc w:val="both"/>
        <w:rPr>
          <w:rFonts w:ascii="Times New Roman" w:hAnsi="Times New Roman" w:cs="Times New Roman"/>
          <w:sz w:val="24"/>
          <w:szCs w:val="24"/>
        </w:rPr>
      </w:pPr>
      <w:r w:rsidRPr="00BD5CE4">
        <w:rPr>
          <w:rFonts w:ascii="Times New Roman" w:hAnsi="Times New Roman" w:cs="Times New Roman"/>
          <w:sz w:val="24"/>
          <w:szCs w:val="24"/>
        </w:rPr>
        <w:t xml:space="preserve">Lorke ,D. (1983).A new approach for acute toxicity testing. </w:t>
      </w:r>
      <w:r w:rsidRPr="00BD5CE4">
        <w:rPr>
          <w:rFonts w:ascii="Times New Roman" w:hAnsi="Times New Roman" w:cs="Times New Roman"/>
          <w:i/>
          <w:iCs/>
          <w:sz w:val="24"/>
          <w:szCs w:val="24"/>
        </w:rPr>
        <w:t xml:space="preserve">Arch Toxicol </w:t>
      </w:r>
      <w:r w:rsidRPr="00BD5CE4">
        <w:rPr>
          <w:rFonts w:ascii="Times New Roman" w:hAnsi="Times New Roman" w:cs="Times New Roman"/>
          <w:sz w:val="24"/>
          <w:szCs w:val="24"/>
        </w:rPr>
        <w:t>54:275-289.</w:t>
      </w:r>
    </w:p>
    <w:p w:rsidR="00E1200A" w:rsidRPr="00BD5CE4" w:rsidRDefault="00E1200A" w:rsidP="00E1200A">
      <w:pPr>
        <w:autoSpaceDE w:val="0"/>
        <w:autoSpaceDN w:val="0"/>
        <w:adjustRightInd w:val="0"/>
        <w:spacing w:after="0" w:line="240" w:lineRule="auto"/>
        <w:jc w:val="both"/>
        <w:rPr>
          <w:rFonts w:ascii="Times New Roman" w:hAnsi="Times New Roman" w:cs="Times New Roman"/>
          <w:sz w:val="24"/>
          <w:szCs w:val="24"/>
        </w:rPr>
      </w:pPr>
    </w:p>
    <w:p w:rsidR="00E1200A" w:rsidRPr="00BD5CE4" w:rsidRDefault="00E1200A" w:rsidP="00E1200A">
      <w:pPr>
        <w:autoSpaceDE w:val="0"/>
        <w:autoSpaceDN w:val="0"/>
        <w:adjustRightInd w:val="0"/>
        <w:spacing w:after="0" w:line="240" w:lineRule="auto"/>
        <w:ind w:left="720" w:hanging="720"/>
        <w:jc w:val="both"/>
        <w:rPr>
          <w:rFonts w:ascii="Times New Roman" w:hAnsi="Times New Roman" w:cs="Times New Roman"/>
          <w:color w:val="231F20"/>
          <w:sz w:val="24"/>
          <w:szCs w:val="24"/>
        </w:rPr>
      </w:pPr>
      <w:r w:rsidRPr="00BD5CE4">
        <w:rPr>
          <w:rFonts w:ascii="Times New Roman" w:hAnsi="Times New Roman" w:cs="Times New Roman"/>
          <w:color w:val="231F20"/>
          <w:sz w:val="24"/>
          <w:szCs w:val="24"/>
        </w:rPr>
        <w:t>Mane,U</w:t>
      </w:r>
      <w:r w:rsidR="00B854FC" w:rsidRPr="00BD5CE4">
        <w:rPr>
          <w:rFonts w:ascii="Times New Roman" w:hAnsi="Times New Roman" w:cs="Times New Roman"/>
          <w:color w:val="231F20"/>
          <w:sz w:val="24"/>
          <w:szCs w:val="24"/>
        </w:rPr>
        <w:t>.</w:t>
      </w:r>
      <w:r w:rsidRPr="00BD5CE4">
        <w:rPr>
          <w:rFonts w:ascii="Times New Roman" w:hAnsi="Times New Roman" w:cs="Times New Roman"/>
          <w:color w:val="231F20"/>
          <w:sz w:val="24"/>
          <w:szCs w:val="24"/>
        </w:rPr>
        <w:t>R.,R.C.Gupta,S. S.Nadkarni,R.R. Giridhar, P.P.Naik &amp; M. R. Yadav(2013).Falcipain inhibitors as potential therapeutics for resistant strains of malaria: a patent review.</w:t>
      </w:r>
      <w:r w:rsidRPr="00BD5CE4">
        <w:rPr>
          <w:rFonts w:ascii="Times New Roman" w:hAnsi="Times New Roman" w:cs="Times New Roman"/>
          <w:sz w:val="24"/>
          <w:szCs w:val="24"/>
        </w:rPr>
        <w:t xml:space="preserve"> Expert Opin. Ther. Patents.21:234-434</w:t>
      </w:r>
    </w:p>
    <w:p w:rsidR="00E1200A" w:rsidRPr="00BD5CE4" w:rsidRDefault="00E1200A" w:rsidP="00E1200A">
      <w:pPr>
        <w:autoSpaceDE w:val="0"/>
        <w:autoSpaceDN w:val="0"/>
        <w:adjustRightInd w:val="0"/>
        <w:spacing w:after="0" w:line="240" w:lineRule="auto"/>
        <w:ind w:left="720" w:hanging="720"/>
        <w:jc w:val="both"/>
        <w:rPr>
          <w:rFonts w:ascii="Times New Roman" w:eastAsia="E-B3" w:hAnsi="Times New Roman" w:cs="Times New Roman"/>
          <w:sz w:val="24"/>
          <w:szCs w:val="24"/>
        </w:rPr>
      </w:pPr>
    </w:p>
    <w:p w:rsidR="0087622F" w:rsidRPr="00BD5CE4" w:rsidRDefault="0087622F" w:rsidP="0087622F">
      <w:pPr>
        <w:pStyle w:val="Default"/>
        <w:rPr>
          <w:rFonts w:ascii="Times New Roman" w:hAnsi="Times New Roman" w:cs="Times New Roman"/>
        </w:rPr>
      </w:pPr>
    </w:p>
    <w:p w:rsidR="00B854FC" w:rsidRPr="00BD5CE4" w:rsidRDefault="0087622F" w:rsidP="00B854FC">
      <w:pPr>
        <w:pStyle w:val="Default"/>
        <w:ind w:left="720" w:hanging="720"/>
        <w:jc w:val="both"/>
        <w:rPr>
          <w:rFonts w:ascii="Times New Roman" w:hAnsi="Times New Roman" w:cs="Times New Roman"/>
        </w:rPr>
      </w:pPr>
      <w:r w:rsidRPr="00BD5CE4">
        <w:rPr>
          <w:rFonts w:ascii="Times New Roman" w:hAnsi="Times New Roman" w:cs="Times New Roman"/>
          <w:bCs/>
        </w:rPr>
        <w:t>Olasehinde G. I., Ayanda O. I., Ajayi A. A. and Nwabueze A. P.(2012).</w:t>
      </w:r>
      <w:r w:rsidRPr="00BD5CE4">
        <w:rPr>
          <w:rFonts w:ascii="Times New Roman" w:hAnsi="Times New Roman" w:cs="Times New Roman"/>
        </w:rPr>
        <w:t xml:space="preserve"> </w:t>
      </w:r>
      <w:r w:rsidR="00B854FC" w:rsidRPr="00BD5CE4">
        <w:rPr>
          <w:rFonts w:ascii="Times New Roman" w:hAnsi="Times New Roman" w:cs="Times New Roman"/>
          <w:bCs/>
          <w:i/>
          <w:iCs/>
        </w:rPr>
        <w:t>In</w:t>
      </w:r>
      <w:r w:rsidRPr="00BD5CE4">
        <w:rPr>
          <w:rFonts w:ascii="Times New Roman" w:hAnsi="Times New Roman" w:cs="Times New Roman"/>
          <w:bCs/>
          <w:i/>
          <w:iCs/>
        </w:rPr>
        <w:t xml:space="preserve">vivo </w:t>
      </w:r>
      <w:r w:rsidRPr="00BD5CE4">
        <w:rPr>
          <w:rFonts w:ascii="Times New Roman" w:hAnsi="Times New Roman" w:cs="Times New Roman"/>
          <w:bCs/>
        </w:rPr>
        <w:t xml:space="preserve">antiplasmodial activity of crude n-hexane and ethanolic extracts of </w:t>
      </w:r>
      <w:r w:rsidRPr="00BD5CE4">
        <w:rPr>
          <w:rFonts w:ascii="Times New Roman" w:hAnsi="Times New Roman" w:cs="Times New Roman"/>
          <w:bCs/>
          <w:i/>
          <w:iCs/>
        </w:rPr>
        <w:t xml:space="preserve">Moringa oleifera </w:t>
      </w:r>
      <w:r w:rsidRPr="00BD5CE4">
        <w:rPr>
          <w:rFonts w:ascii="Times New Roman" w:hAnsi="Times New Roman" w:cs="Times New Roman"/>
          <w:bCs/>
        </w:rPr>
        <w:t xml:space="preserve">(LAM.) seeds on </w:t>
      </w:r>
      <w:r w:rsidRPr="00BD5CE4">
        <w:rPr>
          <w:rFonts w:ascii="Times New Roman" w:hAnsi="Times New Roman" w:cs="Times New Roman"/>
          <w:bCs/>
          <w:i/>
          <w:iCs/>
        </w:rPr>
        <w:t>Plasmodium berghei.</w:t>
      </w:r>
      <w:r w:rsidR="00B854FC" w:rsidRPr="00BD5CE4">
        <w:rPr>
          <w:rFonts w:ascii="Times New Roman" w:hAnsi="Times New Roman" w:cs="Times New Roman"/>
        </w:rPr>
        <w:t xml:space="preserve"> </w:t>
      </w:r>
      <w:r w:rsidR="00B854FC" w:rsidRPr="00BD5CE4">
        <w:rPr>
          <w:rFonts w:ascii="Times New Roman" w:hAnsi="Times New Roman" w:cs="Times New Roman"/>
          <w:bCs/>
        </w:rPr>
        <w:t xml:space="preserve">International Journal of Medicinal Plant Research ISSN: 2169-303X Vol. 1 (5), pp. 050-054 </w:t>
      </w:r>
    </w:p>
    <w:p w:rsidR="0087622F" w:rsidRPr="00BD5CE4" w:rsidRDefault="0087622F" w:rsidP="0087622F">
      <w:pPr>
        <w:autoSpaceDE w:val="0"/>
        <w:autoSpaceDN w:val="0"/>
        <w:adjustRightInd w:val="0"/>
        <w:spacing w:after="0" w:line="240" w:lineRule="auto"/>
        <w:ind w:left="720" w:hanging="720"/>
        <w:jc w:val="both"/>
        <w:rPr>
          <w:rFonts w:ascii="Times New Roman" w:hAnsi="Times New Roman" w:cs="Times New Roman"/>
          <w:sz w:val="24"/>
          <w:szCs w:val="24"/>
        </w:rPr>
      </w:pPr>
    </w:p>
    <w:p w:rsidR="00E1200A" w:rsidRPr="00BD5CE4" w:rsidRDefault="00E1200A" w:rsidP="00E1200A">
      <w:pPr>
        <w:autoSpaceDE w:val="0"/>
        <w:autoSpaceDN w:val="0"/>
        <w:adjustRightInd w:val="0"/>
        <w:spacing w:after="0" w:line="240" w:lineRule="auto"/>
        <w:ind w:left="720" w:hanging="720"/>
        <w:jc w:val="both"/>
        <w:rPr>
          <w:rFonts w:ascii="Times New Roman" w:hAnsi="Times New Roman" w:cs="Times New Roman"/>
          <w:sz w:val="24"/>
          <w:szCs w:val="24"/>
        </w:rPr>
      </w:pPr>
      <w:r w:rsidRPr="00BD5CE4">
        <w:rPr>
          <w:rFonts w:ascii="Times New Roman" w:hAnsi="Times New Roman" w:cs="Times New Roman"/>
          <w:sz w:val="24"/>
          <w:szCs w:val="24"/>
        </w:rPr>
        <w:t>Rao,N., Mallikarjuna,H., Nayana, R. and Pattabiraman,T.N.(1983) .</w:t>
      </w:r>
      <w:r w:rsidRPr="00BD5CE4">
        <w:rPr>
          <w:rFonts w:ascii="Times New Roman" w:hAnsi="Times New Roman" w:cs="Times New Roman"/>
          <w:bCs/>
          <w:sz w:val="24"/>
          <w:szCs w:val="24"/>
        </w:rPr>
        <w:t xml:space="preserve">Enzyme inhibitors from Plants. Isolation and characterization of a protease inhibitor from arrow root </w:t>
      </w:r>
      <w:r w:rsidRPr="00BD5CE4">
        <w:rPr>
          <w:rFonts w:ascii="Times New Roman" w:hAnsi="Times New Roman" w:cs="Times New Roman"/>
          <w:bCs/>
          <w:i/>
          <w:iCs/>
          <w:sz w:val="24"/>
          <w:szCs w:val="24"/>
        </w:rPr>
        <w:t xml:space="preserve">(Maranta arundinaceae) </w:t>
      </w:r>
      <w:r w:rsidRPr="00BD5CE4">
        <w:rPr>
          <w:rFonts w:ascii="Times New Roman" w:hAnsi="Times New Roman" w:cs="Times New Roman"/>
          <w:bCs/>
          <w:sz w:val="24"/>
          <w:szCs w:val="24"/>
        </w:rPr>
        <w:t>tuber .</w:t>
      </w:r>
      <w:r w:rsidRPr="00BD5CE4">
        <w:rPr>
          <w:rFonts w:ascii="Times New Roman" w:hAnsi="Times New Roman" w:cs="Times New Roman"/>
          <w:i/>
          <w:iCs/>
          <w:sz w:val="24"/>
          <w:szCs w:val="24"/>
        </w:rPr>
        <w:t xml:space="preserve">J. Biosci., </w:t>
      </w:r>
      <w:r w:rsidRPr="00BD5CE4">
        <w:rPr>
          <w:rFonts w:ascii="Times New Roman" w:hAnsi="Times New Roman" w:cs="Times New Roman"/>
          <w:sz w:val="24"/>
          <w:szCs w:val="24"/>
        </w:rPr>
        <w:t>Vol.5, Number 1, March, pp. 21—33.</w:t>
      </w:r>
    </w:p>
    <w:p w:rsidR="00E1200A" w:rsidRPr="00BD5CE4" w:rsidRDefault="00E1200A" w:rsidP="00E1200A">
      <w:pPr>
        <w:pStyle w:val="Heading5"/>
        <w:ind w:left="720" w:hanging="720"/>
        <w:jc w:val="both"/>
        <w:rPr>
          <w:b w:val="0"/>
          <w:sz w:val="24"/>
          <w:szCs w:val="24"/>
        </w:rPr>
      </w:pPr>
      <w:r w:rsidRPr="00BD5CE4">
        <w:rPr>
          <w:b w:val="0"/>
          <w:sz w:val="24"/>
          <w:szCs w:val="24"/>
        </w:rPr>
        <w:t>Rosenthal ,P.J.(2011). Cysteine proteases of malaria parasites.In</w:t>
      </w:r>
      <w:r w:rsidRPr="00BD5CE4">
        <w:rPr>
          <w:b w:val="0"/>
          <w:color w:val="000000" w:themeColor="text1"/>
          <w:sz w:val="24"/>
          <w:szCs w:val="24"/>
        </w:rPr>
        <w:t xml:space="preserve"> </w:t>
      </w:r>
      <w:hyperlink r:id="rId14" w:history="1">
        <w:r w:rsidRPr="00BD5CE4">
          <w:rPr>
            <w:rStyle w:val="Hyperlink"/>
            <w:b w:val="0"/>
            <w:color w:val="000000" w:themeColor="text1"/>
            <w:sz w:val="24"/>
            <w:szCs w:val="24"/>
          </w:rPr>
          <w:t>Cysteine Proteases of                           Pathogenic Organisms</w:t>
        </w:r>
      </w:hyperlink>
      <w:r w:rsidRPr="00BD5CE4">
        <w:rPr>
          <w:b w:val="0"/>
          <w:sz w:val="24"/>
          <w:szCs w:val="24"/>
        </w:rPr>
        <w:t>(ed.  Mark, W. R and John, P. D.),pp 208-289. Landes                         Bioscience. RioGrande St., Austin. ISBN: 978-1-4419-8413-5.</w:t>
      </w:r>
    </w:p>
    <w:p w:rsidR="00E1200A" w:rsidRPr="00BD5CE4" w:rsidRDefault="00E1200A" w:rsidP="00E1200A">
      <w:pPr>
        <w:autoSpaceDE w:val="0"/>
        <w:autoSpaceDN w:val="0"/>
        <w:adjustRightInd w:val="0"/>
        <w:spacing w:after="0" w:line="240" w:lineRule="auto"/>
        <w:ind w:left="720" w:hanging="720"/>
        <w:jc w:val="both"/>
        <w:rPr>
          <w:rFonts w:ascii="Times New Roman" w:hAnsi="Times New Roman" w:cs="Times New Roman"/>
          <w:sz w:val="24"/>
          <w:szCs w:val="24"/>
        </w:rPr>
      </w:pPr>
      <w:r w:rsidRPr="00BD5CE4">
        <w:rPr>
          <w:rFonts w:ascii="Times New Roman" w:hAnsi="Times New Roman" w:cs="Times New Roman"/>
          <w:sz w:val="24"/>
          <w:szCs w:val="24"/>
        </w:rPr>
        <w:t>Karthik L, Kumar G, Keswani T, Bhattacharyya A, Chandar SS,. (2014) Protease Inhibitors from Marine Actinobacteria as a Potential Source for Antimalarial Compound. PLoS ONE 9(3).</w:t>
      </w:r>
    </w:p>
    <w:p w:rsidR="00E1200A" w:rsidRPr="00BD5CE4" w:rsidRDefault="00E1200A" w:rsidP="00E1200A">
      <w:pPr>
        <w:autoSpaceDE w:val="0"/>
        <w:autoSpaceDN w:val="0"/>
        <w:adjustRightInd w:val="0"/>
        <w:spacing w:after="0" w:line="240" w:lineRule="auto"/>
        <w:ind w:left="720" w:hanging="720"/>
        <w:jc w:val="both"/>
        <w:rPr>
          <w:rFonts w:ascii="Times New Roman" w:eastAsia="E-B3" w:hAnsi="Times New Roman" w:cs="Times New Roman"/>
          <w:sz w:val="24"/>
          <w:szCs w:val="24"/>
        </w:rPr>
      </w:pPr>
    </w:p>
    <w:p w:rsidR="00E1200A" w:rsidRPr="00BD5CE4" w:rsidRDefault="00E1200A" w:rsidP="00E1200A">
      <w:pPr>
        <w:autoSpaceDE w:val="0"/>
        <w:autoSpaceDN w:val="0"/>
        <w:adjustRightInd w:val="0"/>
        <w:spacing w:after="0" w:line="240" w:lineRule="auto"/>
        <w:jc w:val="both"/>
        <w:rPr>
          <w:rFonts w:ascii="Times New Roman" w:eastAsia="E-B3" w:hAnsi="Times New Roman" w:cs="Times New Roman"/>
          <w:sz w:val="24"/>
          <w:szCs w:val="24"/>
        </w:rPr>
      </w:pPr>
    </w:p>
    <w:p w:rsidR="00E1200A" w:rsidRPr="00BD5CE4" w:rsidRDefault="00E1200A" w:rsidP="00E1200A">
      <w:pPr>
        <w:autoSpaceDE w:val="0"/>
        <w:autoSpaceDN w:val="0"/>
        <w:adjustRightInd w:val="0"/>
        <w:spacing w:after="0" w:line="240" w:lineRule="auto"/>
        <w:ind w:left="720" w:hanging="720"/>
        <w:jc w:val="both"/>
        <w:rPr>
          <w:rFonts w:ascii="Times New Roman" w:hAnsi="Times New Roman" w:cs="Times New Roman"/>
          <w:sz w:val="24"/>
          <w:szCs w:val="24"/>
        </w:rPr>
      </w:pPr>
      <w:r w:rsidRPr="00BD5CE4">
        <w:rPr>
          <w:rFonts w:ascii="Times New Roman" w:hAnsi="Times New Roman" w:cs="Times New Roman"/>
          <w:sz w:val="24"/>
          <w:szCs w:val="24"/>
        </w:rPr>
        <w:t>Wannapa, S.,Gregory, P.,William, F., Siems,C.A.,Ryan,R.W.,Dhirayos, W.(2006).Isolation and characterization of isoinhibitors of the potato protease inhibitor I family from the</w:t>
      </w:r>
    </w:p>
    <w:p w:rsidR="00E1200A" w:rsidRPr="00BD5CE4" w:rsidRDefault="00E1200A" w:rsidP="00E1200A">
      <w:pPr>
        <w:autoSpaceDE w:val="0"/>
        <w:autoSpaceDN w:val="0"/>
        <w:adjustRightInd w:val="0"/>
        <w:spacing w:after="0" w:line="240" w:lineRule="auto"/>
        <w:ind w:left="720" w:hanging="720"/>
        <w:jc w:val="both"/>
        <w:rPr>
          <w:rFonts w:ascii="Times New Roman" w:hAnsi="Times New Roman" w:cs="Times New Roman"/>
          <w:sz w:val="24"/>
          <w:szCs w:val="24"/>
        </w:rPr>
      </w:pPr>
      <w:r w:rsidRPr="00BD5CE4">
        <w:rPr>
          <w:rFonts w:ascii="Times New Roman" w:hAnsi="Times New Roman" w:cs="Times New Roman"/>
          <w:sz w:val="24"/>
          <w:szCs w:val="24"/>
        </w:rPr>
        <w:t>World malaria report (2012). World Health Organization:Geneva, Switzerland.</w:t>
      </w:r>
    </w:p>
    <w:p w:rsidR="00E1200A" w:rsidRPr="00BD5CE4" w:rsidRDefault="00E1200A" w:rsidP="00E1200A">
      <w:pPr>
        <w:autoSpaceDE w:val="0"/>
        <w:autoSpaceDN w:val="0"/>
        <w:adjustRightInd w:val="0"/>
        <w:spacing w:after="0" w:line="240" w:lineRule="auto"/>
        <w:ind w:left="1530" w:hanging="1530"/>
        <w:jc w:val="both"/>
        <w:rPr>
          <w:rFonts w:ascii="Times New Roman" w:hAnsi="Times New Roman" w:cs="Times New Roman"/>
          <w:sz w:val="24"/>
          <w:szCs w:val="24"/>
        </w:rPr>
      </w:pPr>
    </w:p>
    <w:p w:rsidR="00E1200A" w:rsidRPr="00BD5CE4" w:rsidRDefault="00E1200A" w:rsidP="00E1200A">
      <w:pPr>
        <w:autoSpaceDE w:val="0"/>
        <w:autoSpaceDN w:val="0"/>
        <w:adjustRightInd w:val="0"/>
        <w:spacing w:after="0" w:line="240" w:lineRule="auto"/>
        <w:ind w:left="1530" w:hanging="1530"/>
        <w:jc w:val="both"/>
        <w:rPr>
          <w:rFonts w:ascii="Times New Roman" w:hAnsi="Times New Roman" w:cs="Times New Roman"/>
          <w:i/>
          <w:sz w:val="24"/>
          <w:szCs w:val="24"/>
        </w:rPr>
      </w:pPr>
      <w:r w:rsidRPr="00BD5CE4">
        <w:rPr>
          <w:rFonts w:ascii="Times New Roman" w:hAnsi="Times New Roman" w:cs="Times New Roman"/>
          <w:sz w:val="24"/>
          <w:szCs w:val="24"/>
        </w:rPr>
        <w:lastRenderedPageBreak/>
        <w:t>Wu,C.,Whitaker,J.R.,(1990). Purification and partial characterization of four trypsin/chymotrypsin inhibitors from red kidney beans (</w:t>
      </w:r>
      <w:r w:rsidRPr="00BD5CE4">
        <w:rPr>
          <w:rFonts w:ascii="Times New Roman" w:hAnsi="Times New Roman" w:cs="Times New Roman"/>
          <w:i/>
          <w:sz w:val="24"/>
          <w:szCs w:val="24"/>
        </w:rPr>
        <w:t xml:space="preserve">Phaseolus vulgaris var. Linden). J. Agric. Food Chem. </w:t>
      </w:r>
      <w:r w:rsidRPr="00BD5CE4">
        <w:rPr>
          <w:rFonts w:ascii="Times New Roman" w:hAnsi="Times New Roman" w:cs="Times New Roman"/>
          <w:sz w:val="24"/>
          <w:szCs w:val="24"/>
        </w:rPr>
        <w:t>38, 1523– 1529</w:t>
      </w:r>
      <w:r w:rsidRPr="00BD5CE4">
        <w:rPr>
          <w:rFonts w:ascii="Times New Roman" w:hAnsi="Times New Roman" w:cs="Times New Roman"/>
          <w:i/>
          <w:sz w:val="24"/>
          <w:szCs w:val="24"/>
        </w:rPr>
        <w:t xml:space="preserve">.    </w:t>
      </w:r>
    </w:p>
    <w:p w:rsidR="00E1200A" w:rsidRPr="00BD5CE4" w:rsidRDefault="00E1200A" w:rsidP="00E1200A">
      <w:pPr>
        <w:autoSpaceDE w:val="0"/>
        <w:autoSpaceDN w:val="0"/>
        <w:adjustRightInd w:val="0"/>
        <w:spacing w:after="0" w:line="240" w:lineRule="auto"/>
        <w:jc w:val="both"/>
        <w:rPr>
          <w:rFonts w:ascii="Times New Roman" w:hAnsi="Times New Roman" w:cs="Times New Roman"/>
          <w:sz w:val="24"/>
          <w:szCs w:val="24"/>
        </w:rPr>
      </w:pPr>
    </w:p>
    <w:p w:rsidR="0032536F" w:rsidRPr="00BD5CE4" w:rsidRDefault="0032536F" w:rsidP="00E1200A">
      <w:pPr>
        <w:jc w:val="both"/>
        <w:rPr>
          <w:rFonts w:ascii="Times New Roman" w:hAnsi="Times New Roman" w:cs="Times New Roman"/>
          <w:sz w:val="24"/>
          <w:szCs w:val="24"/>
        </w:rPr>
      </w:pPr>
    </w:p>
    <w:sectPr w:rsidR="0032536F" w:rsidRPr="00BD5CE4" w:rsidSect="003B02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4F9" w:rsidRDefault="000F04F9" w:rsidP="009759D1">
      <w:pPr>
        <w:spacing w:after="0" w:line="240" w:lineRule="auto"/>
      </w:pPr>
      <w:r>
        <w:separator/>
      </w:r>
    </w:p>
  </w:endnote>
  <w:endnote w:type="continuationSeparator" w:id="0">
    <w:p w:rsidR="000F04F9" w:rsidRDefault="000F04F9" w:rsidP="0097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ulliverRM">
    <w:altName w:val="MS Mincho"/>
    <w:panose1 w:val="00000000000000000000"/>
    <w:charset w:val="00"/>
    <w:family w:val="auto"/>
    <w:notTrueType/>
    <w:pitch w:val="default"/>
    <w:sig w:usb0="00000003" w:usb1="08070000" w:usb2="00000010" w:usb3="00000000" w:csb0="00020001" w:csb1="00000000"/>
  </w:font>
  <w:font w:name="E-B3">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4F9" w:rsidRDefault="000F04F9" w:rsidP="009759D1">
      <w:pPr>
        <w:spacing w:after="0" w:line="240" w:lineRule="auto"/>
      </w:pPr>
      <w:r>
        <w:separator/>
      </w:r>
    </w:p>
  </w:footnote>
  <w:footnote w:type="continuationSeparator" w:id="0">
    <w:p w:rsidR="000F04F9" w:rsidRDefault="000F04F9" w:rsidP="009759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6F"/>
    <w:rsid w:val="0006617A"/>
    <w:rsid w:val="000B2E82"/>
    <w:rsid w:val="000B579E"/>
    <w:rsid w:val="000F04F9"/>
    <w:rsid w:val="001A4F40"/>
    <w:rsid w:val="00230F28"/>
    <w:rsid w:val="00283DC7"/>
    <w:rsid w:val="002F678A"/>
    <w:rsid w:val="003208E7"/>
    <w:rsid w:val="00324480"/>
    <w:rsid w:val="0032536F"/>
    <w:rsid w:val="00383C5A"/>
    <w:rsid w:val="003865F9"/>
    <w:rsid w:val="00387A65"/>
    <w:rsid w:val="003B02D8"/>
    <w:rsid w:val="005111CF"/>
    <w:rsid w:val="00594D79"/>
    <w:rsid w:val="00647757"/>
    <w:rsid w:val="00693DBE"/>
    <w:rsid w:val="006941F6"/>
    <w:rsid w:val="006F661C"/>
    <w:rsid w:val="007B7BB1"/>
    <w:rsid w:val="007F2921"/>
    <w:rsid w:val="007F45E5"/>
    <w:rsid w:val="00802C8F"/>
    <w:rsid w:val="0087622F"/>
    <w:rsid w:val="008D616A"/>
    <w:rsid w:val="00970169"/>
    <w:rsid w:val="009759D1"/>
    <w:rsid w:val="00A03091"/>
    <w:rsid w:val="00A72F5E"/>
    <w:rsid w:val="00B0001D"/>
    <w:rsid w:val="00B854FC"/>
    <w:rsid w:val="00BD5CE4"/>
    <w:rsid w:val="00C265E2"/>
    <w:rsid w:val="00C56286"/>
    <w:rsid w:val="00C65438"/>
    <w:rsid w:val="00CF362B"/>
    <w:rsid w:val="00D83DA5"/>
    <w:rsid w:val="00D86083"/>
    <w:rsid w:val="00D96DC2"/>
    <w:rsid w:val="00E1200A"/>
    <w:rsid w:val="00E56EE1"/>
    <w:rsid w:val="00E6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6F"/>
  </w:style>
  <w:style w:type="paragraph" w:styleId="Heading5">
    <w:name w:val="heading 5"/>
    <w:basedOn w:val="Normal"/>
    <w:link w:val="Heading5Char"/>
    <w:uiPriority w:val="9"/>
    <w:qFormat/>
    <w:rsid w:val="00E1200A"/>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57"/>
    <w:pPr>
      <w:ind w:left="720"/>
      <w:contextualSpacing/>
    </w:pPr>
  </w:style>
  <w:style w:type="paragraph" w:styleId="NormalWeb">
    <w:name w:val="Normal (Web)"/>
    <w:basedOn w:val="Normal"/>
    <w:uiPriority w:val="99"/>
    <w:unhideWhenUsed/>
    <w:rsid w:val="0032536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253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2536F"/>
    <w:pPr>
      <w:spacing w:after="0" w:line="240" w:lineRule="auto"/>
    </w:pPr>
  </w:style>
  <w:style w:type="paragraph" w:styleId="BalloonText">
    <w:name w:val="Balloon Text"/>
    <w:basedOn w:val="Normal"/>
    <w:link w:val="BalloonTextChar"/>
    <w:uiPriority w:val="99"/>
    <w:semiHidden/>
    <w:unhideWhenUsed/>
    <w:rsid w:val="00325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36F"/>
    <w:rPr>
      <w:rFonts w:ascii="Tahoma" w:hAnsi="Tahoma" w:cs="Tahoma"/>
      <w:sz w:val="16"/>
      <w:szCs w:val="16"/>
    </w:rPr>
  </w:style>
  <w:style w:type="character" w:customStyle="1" w:styleId="Heading5Char">
    <w:name w:val="Heading 5 Char"/>
    <w:basedOn w:val="DefaultParagraphFont"/>
    <w:link w:val="Heading5"/>
    <w:uiPriority w:val="9"/>
    <w:rsid w:val="00E1200A"/>
    <w:rPr>
      <w:rFonts w:ascii="Times New Roman" w:eastAsia="Times New Roman" w:hAnsi="Times New Roman" w:cs="Times New Roman"/>
      <w:b/>
      <w:bCs/>
      <w:sz w:val="20"/>
      <w:szCs w:val="20"/>
      <w:lang w:val="en-GB" w:eastAsia="en-GB"/>
    </w:rPr>
  </w:style>
  <w:style w:type="character" w:styleId="Hyperlink">
    <w:name w:val="Hyperlink"/>
    <w:basedOn w:val="DefaultParagraphFont"/>
    <w:uiPriority w:val="99"/>
    <w:unhideWhenUsed/>
    <w:rsid w:val="00E1200A"/>
    <w:rPr>
      <w:color w:val="0000FF"/>
      <w:u w:val="single"/>
    </w:rPr>
  </w:style>
  <w:style w:type="paragraph" w:customStyle="1" w:styleId="Default">
    <w:name w:val="Default"/>
    <w:rsid w:val="00D860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75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9D1"/>
  </w:style>
  <w:style w:type="paragraph" w:styleId="Footer">
    <w:name w:val="footer"/>
    <w:basedOn w:val="Normal"/>
    <w:link w:val="FooterChar"/>
    <w:uiPriority w:val="99"/>
    <w:unhideWhenUsed/>
    <w:rsid w:val="00975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6F"/>
  </w:style>
  <w:style w:type="paragraph" w:styleId="Heading5">
    <w:name w:val="heading 5"/>
    <w:basedOn w:val="Normal"/>
    <w:link w:val="Heading5Char"/>
    <w:uiPriority w:val="9"/>
    <w:qFormat/>
    <w:rsid w:val="00E1200A"/>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57"/>
    <w:pPr>
      <w:ind w:left="720"/>
      <w:contextualSpacing/>
    </w:pPr>
  </w:style>
  <w:style w:type="paragraph" w:styleId="NormalWeb">
    <w:name w:val="Normal (Web)"/>
    <w:basedOn w:val="Normal"/>
    <w:uiPriority w:val="99"/>
    <w:unhideWhenUsed/>
    <w:rsid w:val="0032536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253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2536F"/>
    <w:pPr>
      <w:spacing w:after="0" w:line="240" w:lineRule="auto"/>
    </w:pPr>
  </w:style>
  <w:style w:type="paragraph" w:styleId="BalloonText">
    <w:name w:val="Balloon Text"/>
    <w:basedOn w:val="Normal"/>
    <w:link w:val="BalloonTextChar"/>
    <w:uiPriority w:val="99"/>
    <w:semiHidden/>
    <w:unhideWhenUsed/>
    <w:rsid w:val="00325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36F"/>
    <w:rPr>
      <w:rFonts w:ascii="Tahoma" w:hAnsi="Tahoma" w:cs="Tahoma"/>
      <w:sz w:val="16"/>
      <w:szCs w:val="16"/>
    </w:rPr>
  </w:style>
  <w:style w:type="character" w:customStyle="1" w:styleId="Heading5Char">
    <w:name w:val="Heading 5 Char"/>
    <w:basedOn w:val="DefaultParagraphFont"/>
    <w:link w:val="Heading5"/>
    <w:uiPriority w:val="9"/>
    <w:rsid w:val="00E1200A"/>
    <w:rPr>
      <w:rFonts w:ascii="Times New Roman" w:eastAsia="Times New Roman" w:hAnsi="Times New Roman" w:cs="Times New Roman"/>
      <w:b/>
      <w:bCs/>
      <w:sz w:val="20"/>
      <w:szCs w:val="20"/>
      <w:lang w:val="en-GB" w:eastAsia="en-GB"/>
    </w:rPr>
  </w:style>
  <w:style w:type="character" w:styleId="Hyperlink">
    <w:name w:val="Hyperlink"/>
    <w:basedOn w:val="DefaultParagraphFont"/>
    <w:uiPriority w:val="99"/>
    <w:unhideWhenUsed/>
    <w:rsid w:val="00E1200A"/>
    <w:rPr>
      <w:color w:val="0000FF"/>
      <w:u w:val="single"/>
    </w:rPr>
  </w:style>
  <w:style w:type="paragraph" w:customStyle="1" w:styleId="Default">
    <w:name w:val="Default"/>
    <w:rsid w:val="00D860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75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9D1"/>
  </w:style>
  <w:style w:type="paragraph" w:styleId="Footer">
    <w:name w:val="footer"/>
    <w:basedOn w:val="Normal"/>
    <w:link w:val="FooterChar"/>
    <w:uiPriority w:val="99"/>
    <w:unhideWhenUsed/>
    <w:rsid w:val="00975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94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landesbioscience.com/books/3703/"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bdullahi\Documents\phd%20results2%20bab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Documents\Documents\phd%20results2%20bab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Documents\Documents\phd%20results2%20bab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Documents\Documents\phd%20results2%20bab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bdullahi\Documents\Documents\phd%20resul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bdullahi\Documents\Documents\phd%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27836813631612"/>
          <c:y val="5.2495635115127677E-2"/>
          <c:w val="0.66195397165780445"/>
          <c:h val="0.83110949043682236"/>
        </c:manualLayout>
      </c:layout>
      <c:barChart>
        <c:barDir val="col"/>
        <c:grouping val="clustered"/>
        <c:varyColors val="0"/>
        <c:ser>
          <c:idx val="0"/>
          <c:order val="0"/>
          <c:tx>
            <c:strRef>
              <c:f>SA!$H$31</c:f>
              <c:strCache>
                <c:ptCount val="1"/>
                <c:pt idx="0">
                  <c:v>0.2%NaOH</c:v>
                </c:pt>
              </c:strCache>
            </c:strRef>
          </c:tx>
          <c:invertIfNegative val="0"/>
          <c:errBars>
            <c:errBarType val="both"/>
            <c:errValType val="cust"/>
            <c:noEndCap val="0"/>
            <c:plus>
              <c:numRef>
                <c:f>SA!$I$48:$M$48</c:f>
                <c:numCache>
                  <c:formatCode>General</c:formatCode>
                  <c:ptCount val="5"/>
                  <c:pt idx="0">
                    <c:v>80</c:v>
                  </c:pt>
                  <c:pt idx="1">
                    <c:v>0</c:v>
                  </c:pt>
                  <c:pt idx="2">
                    <c:v>10</c:v>
                  </c:pt>
                  <c:pt idx="3">
                    <c:v>0</c:v>
                  </c:pt>
                  <c:pt idx="4">
                    <c:v>0</c:v>
                  </c:pt>
                </c:numCache>
              </c:numRef>
            </c:plus>
            <c:minus>
              <c:numRef>
                <c:f>SA!$I$48:$M$48</c:f>
                <c:numCache>
                  <c:formatCode>General</c:formatCode>
                  <c:ptCount val="5"/>
                  <c:pt idx="0">
                    <c:v>80</c:v>
                  </c:pt>
                  <c:pt idx="1">
                    <c:v>0</c:v>
                  </c:pt>
                  <c:pt idx="2">
                    <c:v>10</c:v>
                  </c:pt>
                  <c:pt idx="3">
                    <c:v>0</c:v>
                  </c:pt>
                  <c:pt idx="4">
                    <c:v>0</c:v>
                  </c:pt>
                </c:numCache>
              </c:numRef>
            </c:minus>
          </c:errBars>
          <c:cat>
            <c:strRef>
              <c:f>SA!$I$30:$M$30</c:f>
              <c:strCache>
                <c:ptCount val="5"/>
                <c:pt idx="0">
                  <c:v>FLOWER</c:v>
                </c:pt>
                <c:pt idx="1">
                  <c:v>LEAVES</c:v>
                </c:pt>
                <c:pt idx="2">
                  <c:v>SEED</c:v>
                </c:pt>
                <c:pt idx="3">
                  <c:v>ROOT</c:v>
                </c:pt>
                <c:pt idx="4">
                  <c:v>STEM BARK</c:v>
                </c:pt>
              </c:strCache>
            </c:strRef>
          </c:cat>
          <c:val>
            <c:numRef>
              <c:f>SA!$I$31:$M$31</c:f>
              <c:numCache>
                <c:formatCode>General</c:formatCode>
                <c:ptCount val="5"/>
                <c:pt idx="0">
                  <c:v>225.10638297872347</c:v>
                </c:pt>
                <c:pt idx="1">
                  <c:v>0</c:v>
                </c:pt>
                <c:pt idx="2">
                  <c:v>177.24358974358964</c:v>
                </c:pt>
                <c:pt idx="3">
                  <c:v>0</c:v>
                </c:pt>
                <c:pt idx="4">
                  <c:v>0</c:v>
                </c:pt>
              </c:numCache>
            </c:numRef>
          </c:val>
        </c:ser>
        <c:ser>
          <c:idx val="1"/>
          <c:order val="1"/>
          <c:tx>
            <c:strRef>
              <c:f>SA!$H$32</c:f>
              <c:strCache>
                <c:ptCount val="1"/>
                <c:pt idx="0">
                  <c:v>0.05M HCl</c:v>
                </c:pt>
              </c:strCache>
            </c:strRef>
          </c:tx>
          <c:invertIfNegative val="0"/>
          <c:errBars>
            <c:errBarType val="both"/>
            <c:errValType val="cust"/>
            <c:noEndCap val="0"/>
            <c:plus>
              <c:numRef>
                <c:f>SA!$I$49:$M$49</c:f>
                <c:numCache>
                  <c:formatCode>General</c:formatCode>
                  <c:ptCount val="5"/>
                  <c:pt idx="0">
                    <c:v>0</c:v>
                  </c:pt>
                  <c:pt idx="1">
                    <c:v>50</c:v>
                  </c:pt>
                  <c:pt idx="2">
                    <c:v>10</c:v>
                  </c:pt>
                  <c:pt idx="3">
                    <c:v>140</c:v>
                  </c:pt>
                  <c:pt idx="4">
                    <c:v>80</c:v>
                  </c:pt>
                </c:numCache>
              </c:numRef>
            </c:plus>
            <c:minus>
              <c:numRef>
                <c:f>SA!$I$49:$M$49</c:f>
                <c:numCache>
                  <c:formatCode>General</c:formatCode>
                  <c:ptCount val="5"/>
                  <c:pt idx="0">
                    <c:v>0</c:v>
                  </c:pt>
                  <c:pt idx="1">
                    <c:v>50</c:v>
                  </c:pt>
                  <c:pt idx="2">
                    <c:v>10</c:v>
                  </c:pt>
                  <c:pt idx="3">
                    <c:v>140</c:v>
                  </c:pt>
                  <c:pt idx="4">
                    <c:v>80</c:v>
                  </c:pt>
                </c:numCache>
              </c:numRef>
            </c:minus>
          </c:errBars>
          <c:cat>
            <c:strRef>
              <c:f>SA!$I$30:$M$30</c:f>
              <c:strCache>
                <c:ptCount val="5"/>
                <c:pt idx="0">
                  <c:v>FLOWER</c:v>
                </c:pt>
                <c:pt idx="1">
                  <c:v>LEAVES</c:v>
                </c:pt>
                <c:pt idx="2">
                  <c:v>SEED</c:v>
                </c:pt>
                <c:pt idx="3">
                  <c:v>ROOT</c:v>
                </c:pt>
                <c:pt idx="4">
                  <c:v>STEM BARK</c:v>
                </c:pt>
              </c:strCache>
            </c:strRef>
          </c:cat>
          <c:val>
            <c:numRef>
              <c:f>SA!$I$32:$M$32</c:f>
              <c:numCache>
                <c:formatCode>General</c:formatCode>
                <c:ptCount val="5"/>
                <c:pt idx="0">
                  <c:v>54.285714285714278</c:v>
                </c:pt>
                <c:pt idx="1">
                  <c:v>402.85714285714266</c:v>
                </c:pt>
                <c:pt idx="2">
                  <c:v>808.15789473684254</c:v>
                </c:pt>
                <c:pt idx="3">
                  <c:v>209.18367346938757</c:v>
                </c:pt>
                <c:pt idx="4">
                  <c:v>448</c:v>
                </c:pt>
              </c:numCache>
            </c:numRef>
          </c:val>
        </c:ser>
        <c:ser>
          <c:idx val="2"/>
          <c:order val="2"/>
          <c:tx>
            <c:strRef>
              <c:f>SA!$H$33</c:f>
              <c:strCache>
                <c:ptCount val="1"/>
                <c:pt idx="0">
                  <c:v>15% NaCl</c:v>
                </c:pt>
              </c:strCache>
            </c:strRef>
          </c:tx>
          <c:invertIfNegative val="0"/>
          <c:errBars>
            <c:errBarType val="both"/>
            <c:errValType val="cust"/>
            <c:noEndCap val="0"/>
            <c:plus>
              <c:numRef>
                <c:f>SA!$I$50:$M$50</c:f>
                <c:numCache>
                  <c:formatCode>General</c:formatCode>
                  <c:ptCount val="5"/>
                  <c:pt idx="0">
                    <c:v>10</c:v>
                  </c:pt>
                  <c:pt idx="1">
                    <c:v>20</c:v>
                  </c:pt>
                  <c:pt idx="2">
                    <c:v>40</c:v>
                  </c:pt>
                  <c:pt idx="3">
                    <c:v>0</c:v>
                  </c:pt>
                  <c:pt idx="4">
                    <c:v>0</c:v>
                  </c:pt>
                </c:numCache>
              </c:numRef>
            </c:plus>
            <c:minus>
              <c:numRef>
                <c:f>SA!$I$50:$M$50</c:f>
                <c:numCache>
                  <c:formatCode>General</c:formatCode>
                  <c:ptCount val="5"/>
                  <c:pt idx="0">
                    <c:v>10</c:v>
                  </c:pt>
                  <c:pt idx="1">
                    <c:v>20</c:v>
                  </c:pt>
                  <c:pt idx="2">
                    <c:v>40</c:v>
                  </c:pt>
                  <c:pt idx="3">
                    <c:v>0</c:v>
                  </c:pt>
                  <c:pt idx="4">
                    <c:v>0</c:v>
                  </c:pt>
                </c:numCache>
              </c:numRef>
            </c:minus>
          </c:errBars>
          <c:cat>
            <c:strRef>
              <c:f>SA!$I$30:$M$30</c:f>
              <c:strCache>
                <c:ptCount val="5"/>
                <c:pt idx="0">
                  <c:v>FLOWER</c:v>
                </c:pt>
                <c:pt idx="1">
                  <c:v>LEAVES</c:v>
                </c:pt>
                <c:pt idx="2">
                  <c:v>SEED</c:v>
                </c:pt>
                <c:pt idx="3">
                  <c:v>ROOT</c:v>
                </c:pt>
                <c:pt idx="4">
                  <c:v>STEM BARK</c:v>
                </c:pt>
              </c:strCache>
            </c:strRef>
          </c:cat>
          <c:val>
            <c:numRef>
              <c:f>SA!$I$33:$M$33</c:f>
              <c:numCache>
                <c:formatCode>General</c:formatCode>
                <c:ptCount val="5"/>
                <c:pt idx="0">
                  <c:v>200</c:v>
                </c:pt>
                <c:pt idx="1">
                  <c:v>113.61111111111111</c:v>
                </c:pt>
                <c:pt idx="2">
                  <c:v>561.8181818181821</c:v>
                </c:pt>
                <c:pt idx="3">
                  <c:v>0</c:v>
                </c:pt>
                <c:pt idx="4">
                  <c:v>0</c:v>
                </c:pt>
              </c:numCache>
            </c:numRef>
          </c:val>
        </c:ser>
        <c:ser>
          <c:idx val="3"/>
          <c:order val="3"/>
          <c:tx>
            <c:strRef>
              <c:f>SA!$H$34</c:f>
              <c:strCache>
                <c:ptCount val="1"/>
                <c:pt idx="0">
                  <c:v>0.1M Phosphate Buffer</c:v>
                </c:pt>
              </c:strCache>
            </c:strRef>
          </c:tx>
          <c:invertIfNegative val="0"/>
          <c:errBars>
            <c:errBarType val="both"/>
            <c:errValType val="cust"/>
            <c:noEndCap val="0"/>
            <c:plus>
              <c:numRef>
                <c:f>SA!$I$51:$M$51</c:f>
                <c:numCache>
                  <c:formatCode>General</c:formatCode>
                  <c:ptCount val="5"/>
                  <c:pt idx="0">
                    <c:v>30</c:v>
                  </c:pt>
                  <c:pt idx="1">
                    <c:v>60</c:v>
                  </c:pt>
                  <c:pt idx="2">
                    <c:v>80</c:v>
                  </c:pt>
                  <c:pt idx="3">
                    <c:v>20</c:v>
                  </c:pt>
                  <c:pt idx="4">
                    <c:v>20</c:v>
                  </c:pt>
                </c:numCache>
              </c:numRef>
            </c:plus>
            <c:minus>
              <c:numRef>
                <c:f>SA!$I$51:$M$51</c:f>
                <c:numCache>
                  <c:formatCode>General</c:formatCode>
                  <c:ptCount val="5"/>
                  <c:pt idx="0">
                    <c:v>30</c:v>
                  </c:pt>
                  <c:pt idx="1">
                    <c:v>60</c:v>
                  </c:pt>
                  <c:pt idx="2">
                    <c:v>80</c:v>
                  </c:pt>
                  <c:pt idx="3">
                    <c:v>20</c:v>
                  </c:pt>
                  <c:pt idx="4">
                    <c:v>20</c:v>
                  </c:pt>
                </c:numCache>
              </c:numRef>
            </c:minus>
          </c:errBars>
          <c:cat>
            <c:strRef>
              <c:f>SA!$I$30:$M$30</c:f>
              <c:strCache>
                <c:ptCount val="5"/>
                <c:pt idx="0">
                  <c:v>FLOWER</c:v>
                </c:pt>
                <c:pt idx="1">
                  <c:v>LEAVES</c:v>
                </c:pt>
                <c:pt idx="2">
                  <c:v>SEED</c:v>
                </c:pt>
                <c:pt idx="3">
                  <c:v>ROOT</c:v>
                </c:pt>
                <c:pt idx="4">
                  <c:v>STEM BARK</c:v>
                </c:pt>
              </c:strCache>
            </c:strRef>
          </c:cat>
          <c:val>
            <c:numRef>
              <c:f>SA!$I$34:$M$34</c:f>
              <c:numCache>
                <c:formatCode>General</c:formatCode>
                <c:ptCount val="5"/>
                <c:pt idx="0">
                  <c:v>644.4</c:v>
                </c:pt>
                <c:pt idx="1">
                  <c:v>658.63013698630152</c:v>
                </c:pt>
                <c:pt idx="2">
                  <c:v>918.9583333333336</c:v>
                </c:pt>
                <c:pt idx="3">
                  <c:v>637.9591836734694</c:v>
                </c:pt>
                <c:pt idx="4">
                  <c:v>380</c:v>
                </c:pt>
              </c:numCache>
            </c:numRef>
          </c:val>
        </c:ser>
        <c:ser>
          <c:idx val="4"/>
          <c:order val="4"/>
          <c:tx>
            <c:strRef>
              <c:f>SA!$H$35</c:f>
              <c:strCache>
                <c:ptCount val="1"/>
                <c:pt idx="0">
                  <c:v>Dist.Water</c:v>
                </c:pt>
              </c:strCache>
            </c:strRef>
          </c:tx>
          <c:invertIfNegative val="0"/>
          <c:errBars>
            <c:errBarType val="both"/>
            <c:errValType val="cust"/>
            <c:noEndCap val="0"/>
            <c:plus>
              <c:numRef>
                <c:f>SA!$I$52:$M$52</c:f>
                <c:numCache>
                  <c:formatCode>General</c:formatCode>
                  <c:ptCount val="5"/>
                  <c:pt idx="0">
                    <c:v>30</c:v>
                  </c:pt>
                  <c:pt idx="1">
                    <c:v>40</c:v>
                  </c:pt>
                  <c:pt idx="2">
                    <c:v>40</c:v>
                  </c:pt>
                  <c:pt idx="3">
                    <c:v>50</c:v>
                  </c:pt>
                  <c:pt idx="4">
                    <c:v>10</c:v>
                  </c:pt>
                </c:numCache>
              </c:numRef>
            </c:plus>
            <c:minus>
              <c:numRef>
                <c:f>SA!$I$52:$M$52</c:f>
                <c:numCache>
                  <c:formatCode>General</c:formatCode>
                  <c:ptCount val="5"/>
                  <c:pt idx="0">
                    <c:v>30</c:v>
                  </c:pt>
                  <c:pt idx="1">
                    <c:v>40</c:v>
                  </c:pt>
                  <c:pt idx="2">
                    <c:v>40</c:v>
                  </c:pt>
                  <c:pt idx="3">
                    <c:v>50</c:v>
                  </c:pt>
                  <c:pt idx="4">
                    <c:v>10</c:v>
                  </c:pt>
                </c:numCache>
              </c:numRef>
            </c:minus>
          </c:errBars>
          <c:cat>
            <c:strRef>
              <c:f>SA!$I$30:$M$30</c:f>
              <c:strCache>
                <c:ptCount val="5"/>
                <c:pt idx="0">
                  <c:v>FLOWER</c:v>
                </c:pt>
                <c:pt idx="1">
                  <c:v>LEAVES</c:v>
                </c:pt>
                <c:pt idx="2">
                  <c:v>SEED</c:v>
                </c:pt>
                <c:pt idx="3">
                  <c:v>ROOT</c:v>
                </c:pt>
                <c:pt idx="4">
                  <c:v>STEM BARK</c:v>
                </c:pt>
              </c:strCache>
            </c:strRef>
          </c:cat>
          <c:val>
            <c:numRef>
              <c:f>SA!$I$35:$M$35</c:f>
              <c:numCache>
                <c:formatCode>General</c:formatCode>
                <c:ptCount val="5"/>
                <c:pt idx="0">
                  <c:v>589.81132075471669</c:v>
                </c:pt>
                <c:pt idx="1">
                  <c:v>420.5</c:v>
                </c:pt>
                <c:pt idx="2">
                  <c:v>728.23529411764741</c:v>
                </c:pt>
                <c:pt idx="3">
                  <c:v>240.48780487804876</c:v>
                </c:pt>
                <c:pt idx="4">
                  <c:v>400</c:v>
                </c:pt>
              </c:numCache>
            </c:numRef>
          </c:val>
        </c:ser>
        <c:dLbls>
          <c:showLegendKey val="0"/>
          <c:showVal val="0"/>
          <c:showCatName val="0"/>
          <c:showSerName val="0"/>
          <c:showPercent val="0"/>
          <c:showBubbleSize val="0"/>
        </c:dLbls>
        <c:gapWidth val="150"/>
        <c:axId val="82977280"/>
        <c:axId val="82350016"/>
      </c:barChart>
      <c:catAx>
        <c:axId val="82977280"/>
        <c:scaling>
          <c:orientation val="minMax"/>
        </c:scaling>
        <c:delete val="0"/>
        <c:axPos val="b"/>
        <c:majorTickMark val="out"/>
        <c:minorTickMark val="none"/>
        <c:tickLblPos val="nextTo"/>
        <c:crossAx val="82350016"/>
        <c:crosses val="autoZero"/>
        <c:auto val="1"/>
        <c:lblAlgn val="ctr"/>
        <c:lblOffset val="100"/>
        <c:noMultiLvlLbl val="0"/>
      </c:catAx>
      <c:valAx>
        <c:axId val="82350016"/>
        <c:scaling>
          <c:orientation val="minMax"/>
        </c:scaling>
        <c:delete val="0"/>
        <c:axPos val="l"/>
        <c:title>
          <c:tx>
            <c:rich>
              <a:bodyPr rot="-5400000" vert="horz"/>
              <a:lstStyle/>
              <a:p>
                <a:pPr>
                  <a:defRPr sz="1200"/>
                </a:pPr>
                <a:r>
                  <a:rPr lang="en-US" sz="1200" b="1" i="0" baseline="0"/>
                  <a:t>Specific inhibtory activity(units/mg)</a:t>
                </a:r>
                <a:endParaRPr lang="en-US" sz="1200"/>
              </a:p>
              <a:p>
                <a:pPr>
                  <a:defRPr sz="1200"/>
                </a:pPr>
                <a:endParaRPr lang="en-US" sz="1200" b="1" i="0" baseline="0"/>
              </a:p>
              <a:p>
                <a:pPr>
                  <a:defRPr sz="1200"/>
                </a:pPr>
                <a:endParaRPr lang="en-US" sz="1200"/>
              </a:p>
            </c:rich>
          </c:tx>
          <c:overlay val="0"/>
        </c:title>
        <c:numFmt formatCode="General" sourceLinked="1"/>
        <c:majorTickMark val="out"/>
        <c:minorTickMark val="none"/>
        <c:tickLblPos val="nextTo"/>
        <c:crossAx val="82977280"/>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91932097322888"/>
          <c:y val="6.9976194431567038E-2"/>
          <c:w val="0.79700089373794747"/>
          <c:h val="0.76176762341260718"/>
        </c:manualLayout>
      </c:layout>
      <c:scatterChart>
        <c:scatterStyle val="lineMarker"/>
        <c:varyColors val="0"/>
        <c:ser>
          <c:idx val="0"/>
          <c:order val="0"/>
          <c:tx>
            <c:strRef>
              <c:f>BABA!$W$78</c:f>
              <c:strCache>
                <c:ptCount val="1"/>
                <c:pt idx="0">
                  <c:v>inhibition</c:v>
                </c:pt>
              </c:strCache>
            </c:strRef>
          </c:tx>
          <c:spPr>
            <a:ln w="28575">
              <a:noFill/>
            </a:ln>
          </c:spPr>
          <c:trendline>
            <c:spPr>
              <a:ln w="25400" cap="flat" cmpd="sng" algn="ctr">
                <a:solidFill>
                  <a:schemeClr val="accent2"/>
                </a:solidFill>
                <a:prstDash val="solid"/>
              </a:ln>
              <a:effectLst>
                <a:outerShdw blurRad="40000" dist="20000" dir="5400000" rotWithShape="0">
                  <a:srgbClr val="000000">
                    <a:alpha val="38000"/>
                  </a:srgbClr>
                </a:outerShdw>
              </a:effectLst>
            </c:spPr>
            <c:trendlineType val="linear"/>
            <c:backward val="2"/>
            <c:dispRSqr val="0"/>
            <c:dispEq val="0"/>
          </c:trendline>
          <c:errBars>
            <c:errDir val="y"/>
            <c:errBarType val="both"/>
            <c:errValType val="cust"/>
            <c:noEndCap val="0"/>
            <c:plus>
              <c:numRef>
                <c:f>BABA!$X$79:$AC$79</c:f>
                <c:numCache>
                  <c:formatCode>General</c:formatCode>
                  <c:ptCount val="6"/>
                  <c:pt idx="0">
                    <c:v>5</c:v>
                  </c:pt>
                  <c:pt idx="1">
                    <c:v>4</c:v>
                  </c:pt>
                  <c:pt idx="2">
                    <c:v>4.5</c:v>
                  </c:pt>
                  <c:pt idx="3">
                    <c:v>6</c:v>
                  </c:pt>
                  <c:pt idx="4">
                    <c:v>5.5</c:v>
                  </c:pt>
                </c:numCache>
              </c:numRef>
            </c:plus>
            <c:minus>
              <c:numRef>
                <c:f>BABA!$X$79:$AB$79</c:f>
                <c:numCache>
                  <c:formatCode>General</c:formatCode>
                  <c:ptCount val="5"/>
                  <c:pt idx="0">
                    <c:v>5</c:v>
                  </c:pt>
                  <c:pt idx="1">
                    <c:v>4</c:v>
                  </c:pt>
                  <c:pt idx="2">
                    <c:v>4.5</c:v>
                  </c:pt>
                  <c:pt idx="3">
                    <c:v>6</c:v>
                  </c:pt>
                  <c:pt idx="4">
                    <c:v>5.5</c:v>
                  </c:pt>
                </c:numCache>
              </c:numRef>
            </c:minus>
          </c:errBars>
          <c:errBars>
            <c:errDir val="x"/>
            <c:errBarType val="both"/>
            <c:errValType val="fixedVal"/>
            <c:noEndCap val="0"/>
            <c:val val="1"/>
          </c:errBars>
          <c:xVal>
            <c:numRef>
              <c:f>BABA!$X$77:$AB$77</c:f>
              <c:numCache>
                <c:formatCode>General</c:formatCode>
                <c:ptCount val="5"/>
                <c:pt idx="0">
                  <c:v>10</c:v>
                </c:pt>
                <c:pt idx="1">
                  <c:v>20</c:v>
                </c:pt>
                <c:pt idx="2">
                  <c:v>30</c:v>
                </c:pt>
                <c:pt idx="3">
                  <c:v>40</c:v>
                </c:pt>
                <c:pt idx="4">
                  <c:v>50</c:v>
                </c:pt>
              </c:numCache>
            </c:numRef>
          </c:xVal>
          <c:yVal>
            <c:numRef>
              <c:f>BABA!$X$78:$AB$78</c:f>
              <c:numCache>
                <c:formatCode>General</c:formatCode>
                <c:ptCount val="5"/>
                <c:pt idx="0">
                  <c:v>23</c:v>
                </c:pt>
                <c:pt idx="1">
                  <c:v>52</c:v>
                </c:pt>
                <c:pt idx="2">
                  <c:v>72</c:v>
                </c:pt>
                <c:pt idx="3">
                  <c:v>87</c:v>
                </c:pt>
                <c:pt idx="4">
                  <c:v>100</c:v>
                </c:pt>
              </c:numCache>
            </c:numRef>
          </c:yVal>
          <c:smooth val="0"/>
        </c:ser>
        <c:dLbls>
          <c:showLegendKey val="0"/>
          <c:showVal val="0"/>
          <c:showCatName val="0"/>
          <c:showSerName val="0"/>
          <c:showPercent val="0"/>
          <c:showBubbleSize val="0"/>
        </c:dLbls>
        <c:axId val="82349440"/>
        <c:axId val="82350592"/>
      </c:scatterChart>
      <c:valAx>
        <c:axId val="82349440"/>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200" b="0" i="0" baseline="0">
                    <a:effectLst/>
                  </a:rPr>
                  <a:t>Concentration(µg/ml)</a:t>
                </a:r>
                <a:endParaRPr lang="en-US" sz="12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a:p>
            </c:rich>
          </c:tx>
          <c:overlay val="0"/>
        </c:title>
        <c:numFmt formatCode="General" sourceLinked="1"/>
        <c:majorTickMark val="out"/>
        <c:minorTickMark val="none"/>
        <c:tickLblPos val="nextTo"/>
        <c:crossAx val="82350592"/>
        <c:crosses val="autoZero"/>
        <c:crossBetween val="midCat"/>
      </c:valAx>
      <c:valAx>
        <c:axId val="82350592"/>
        <c:scaling>
          <c:orientation val="minMax"/>
          <c:max val="120"/>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200" b="0" i="0" baseline="0">
                    <a:effectLst/>
                    <a:latin typeface="Times New Roman" pitchFamily="18" charset="0"/>
                    <a:cs typeface="Times New Roman" pitchFamily="18" charset="0"/>
                  </a:rPr>
                  <a:t>Protease inhibtory activity(%)</a:t>
                </a:r>
                <a:endParaRPr lang="en-US" sz="1200">
                  <a:effectLst/>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a:p>
            </c:rich>
          </c:tx>
          <c:overlay val="0"/>
        </c:title>
        <c:numFmt formatCode="General" sourceLinked="1"/>
        <c:majorTickMark val="out"/>
        <c:minorTickMark val="none"/>
        <c:tickLblPos val="nextTo"/>
        <c:crossAx val="82349440"/>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892027014116461"/>
          <c:y val="7.4548702245552642E-2"/>
          <c:w val="0.49351165890457593"/>
          <c:h val="0.79822506561679785"/>
        </c:manualLayout>
      </c:layout>
      <c:barChart>
        <c:barDir val="col"/>
        <c:grouping val="clustered"/>
        <c:varyColors val="0"/>
        <c:ser>
          <c:idx val="0"/>
          <c:order val="0"/>
          <c:tx>
            <c:strRef>
              <c:f>subchronic!$L$33</c:f>
              <c:strCache>
                <c:ptCount val="1"/>
                <c:pt idx="0">
                  <c:v>Pre-treatment </c:v>
                </c:pt>
              </c:strCache>
            </c:strRef>
          </c:tx>
          <c:invertIfNegative val="0"/>
          <c:errBars>
            <c:errBarType val="both"/>
            <c:errValType val="cust"/>
            <c:noEndCap val="0"/>
            <c:plus>
              <c:numRef>
                <c:f>subchronic!$D$61:$D$64</c:f>
                <c:numCache>
                  <c:formatCode>General</c:formatCode>
                  <c:ptCount val="4"/>
                  <c:pt idx="0">
                    <c:v>0.50695167422556886</c:v>
                  </c:pt>
                  <c:pt idx="1">
                    <c:v>0.72208032794142385</c:v>
                  </c:pt>
                  <c:pt idx="2">
                    <c:v>0.57096409694482708</c:v>
                  </c:pt>
                  <c:pt idx="3">
                    <c:v>0.2803569153776152</c:v>
                  </c:pt>
                </c:numCache>
              </c:numRef>
            </c:plus>
            <c:minus>
              <c:numRef>
                <c:f>subchronic!$D$61:$D$64</c:f>
                <c:numCache>
                  <c:formatCode>General</c:formatCode>
                  <c:ptCount val="4"/>
                  <c:pt idx="0">
                    <c:v>0.50695167422556886</c:v>
                  </c:pt>
                  <c:pt idx="1">
                    <c:v>0.72208032794142385</c:v>
                  </c:pt>
                  <c:pt idx="2">
                    <c:v>0.57096409694482708</c:v>
                  </c:pt>
                  <c:pt idx="3">
                    <c:v>0.2803569153776152</c:v>
                  </c:pt>
                </c:numCache>
              </c:numRef>
            </c:minus>
          </c:errBars>
          <c:cat>
            <c:strRef>
              <c:f>subchronic!$K$34:$K$37</c:f>
              <c:strCache>
                <c:ptCount val="4"/>
                <c:pt idx="0">
                  <c:v>Control</c:v>
                </c:pt>
                <c:pt idx="1">
                  <c:v>30mg/kg</c:v>
                </c:pt>
                <c:pt idx="2">
                  <c:v>50mg/kg</c:v>
                </c:pt>
                <c:pt idx="3">
                  <c:v>70mg/kg</c:v>
                </c:pt>
              </c:strCache>
            </c:strRef>
          </c:cat>
          <c:val>
            <c:numRef>
              <c:f>subchronic!$L$34:$L$37</c:f>
              <c:numCache>
                <c:formatCode>General</c:formatCode>
                <c:ptCount val="4"/>
                <c:pt idx="0">
                  <c:v>28.999999999999993</c:v>
                </c:pt>
                <c:pt idx="1">
                  <c:v>28.98</c:v>
                </c:pt>
                <c:pt idx="2">
                  <c:v>30</c:v>
                </c:pt>
                <c:pt idx="3">
                  <c:v>28.439999999999998</c:v>
                </c:pt>
              </c:numCache>
            </c:numRef>
          </c:val>
        </c:ser>
        <c:ser>
          <c:idx val="1"/>
          <c:order val="1"/>
          <c:tx>
            <c:strRef>
              <c:f>subchronic!$M$33</c:f>
              <c:strCache>
                <c:ptCount val="1"/>
                <c:pt idx="0">
                  <c:v>Post-treatment </c:v>
                </c:pt>
              </c:strCache>
            </c:strRef>
          </c:tx>
          <c:invertIfNegative val="0"/>
          <c:errBars>
            <c:errBarType val="both"/>
            <c:errValType val="cust"/>
            <c:noEndCap val="0"/>
            <c:plus>
              <c:numRef>
                <c:f>subchronic!$E$61:$E$64</c:f>
                <c:numCache>
                  <c:formatCode>General</c:formatCode>
                  <c:ptCount val="4"/>
                  <c:pt idx="0">
                    <c:v>0.53422841556770584</c:v>
                  </c:pt>
                  <c:pt idx="1">
                    <c:v>0.17435595774165197</c:v>
                  </c:pt>
                  <c:pt idx="2">
                    <c:v>0.35128336140499505</c:v>
                  </c:pt>
                  <c:pt idx="3">
                    <c:v>0.33075670817083219</c:v>
                  </c:pt>
                </c:numCache>
              </c:numRef>
            </c:plus>
            <c:minus>
              <c:numRef>
                <c:f>subchronic!$E$61:$E$64</c:f>
                <c:numCache>
                  <c:formatCode>General</c:formatCode>
                  <c:ptCount val="4"/>
                  <c:pt idx="0">
                    <c:v>0.53422841556770584</c:v>
                  </c:pt>
                  <c:pt idx="1">
                    <c:v>0.17435595774165197</c:v>
                  </c:pt>
                  <c:pt idx="2">
                    <c:v>0.35128336140499505</c:v>
                  </c:pt>
                  <c:pt idx="3">
                    <c:v>0.33075670817083219</c:v>
                  </c:pt>
                </c:numCache>
              </c:numRef>
            </c:minus>
          </c:errBars>
          <c:cat>
            <c:strRef>
              <c:f>subchronic!$K$34:$K$37</c:f>
              <c:strCache>
                <c:ptCount val="4"/>
                <c:pt idx="0">
                  <c:v>Control</c:v>
                </c:pt>
                <c:pt idx="1">
                  <c:v>30mg/kg</c:v>
                </c:pt>
                <c:pt idx="2">
                  <c:v>50mg/kg</c:v>
                </c:pt>
                <c:pt idx="3">
                  <c:v>70mg/kg</c:v>
                </c:pt>
              </c:strCache>
            </c:strRef>
          </c:cat>
          <c:val>
            <c:numRef>
              <c:f>subchronic!$M$34:$M$37</c:f>
              <c:numCache>
                <c:formatCode>General</c:formatCode>
                <c:ptCount val="4"/>
                <c:pt idx="0">
                  <c:v>29.98</c:v>
                </c:pt>
                <c:pt idx="1">
                  <c:v>29.32</c:v>
                </c:pt>
                <c:pt idx="2">
                  <c:v>30.32</c:v>
                </c:pt>
                <c:pt idx="3">
                  <c:v>29.919999999999998</c:v>
                </c:pt>
              </c:numCache>
            </c:numRef>
          </c:val>
        </c:ser>
        <c:dLbls>
          <c:showLegendKey val="0"/>
          <c:showVal val="0"/>
          <c:showCatName val="0"/>
          <c:showSerName val="0"/>
          <c:showPercent val="0"/>
          <c:showBubbleSize val="0"/>
        </c:dLbls>
        <c:gapWidth val="150"/>
        <c:axId val="82180096"/>
        <c:axId val="84419712"/>
      </c:barChart>
      <c:catAx>
        <c:axId val="82180096"/>
        <c:scaling>
          <c:orientation val="minMax"/>
        </c:scaling>
        <c:delete val="0"/>
        <c:axPos val="b"/>
        <c:title>
          <c:tx>
            <c:rich>
              <a:bodyPr/>
              <a:lstStyle/>
              <a:p>
                <a:pPr>
                  <a:defRPr/>
                </a:pPr>
                <a:r>
                  <a:rPr lang="en-US"/>
                  <a:t>Treatment groups</a:t>
                </a:r>
              </a:p>
            </c:rich>
          </c:tx>
          <c:overlay val="0"/>
        </c:title>
        <c:majorTickMark val="out"/>
        <c:minorTickMark val="none"/>
        <c:tickLblPos val="nextTo"/>
        <c:crossAx val="84419712"/>
        <c:crosses val="autoZero"/>
        <c:auto val="1"/>
        <c:lblAlgn val="ctr"/>
        <c:lblOffset val="100"/>
        <c:noMultiLvlLbl val="0"/>
      </c:catAx>
      <c:valAx>
        <c:axId val="84419712"/>
        <c:scaling>
          <c:orientation val="minMax"/>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200" b="0"/>
                  <a:t> </a:t>
                </a:r>
                <a:r>
                  <a:rPr lang="en-US" sz="1200" b="0" i="0" baseline="0"/>
                  <a:t>MEAN BODY  WEIGTH(g)</a:t>
                </a:r>
                <a:endParaRPr lang="en-US" sz="1200" b="0"/>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a:p>
            </c:rich>
          </c:tx>
          <c:overlay val="0"/>
        </c:title>
        <c:numFmt formatCode="General" sourceLinked="1"/>
        <c:majorTickMark val="out"/>
        <c:minorTickMark val="none"/>
        <c:tickLblPos val="nextTo"/>
        <c:crossAx val="8218009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364230023733238"/>
          <c:y val="0.12873731095735641"/>
          <c:w val="0.63501463244150291"/>
          <c:h val="0.79255801995825559"/>
        </c:manualLayout>
      </c:layout>
      <c:barChart>
        <c:barDir val="col"/>
        <c:grouping val="clustered"/>
        <c:varyColors val="0"/>
        <c:ser>
          <c:idx val="0"/>
          <c:order val="0"/>
          <c:tx>
            <c:strRef>
              <c:f>subchronic!$AE$33</c:f>
              <c:strCache>
                <c:ptCount val="1"/>
                <c:pt idx="0">
                  <c:v>Pre-treatment </c:v>
                </c:pt>
              </c:strCache>
            </c:strRef>
          </c:tx>
          <c:invertIfNegative val="0"/>
          <c:errBars>
            <c:errBarType val="both"/>
            <c:errValType val="cust"/>
            <c:noEndCap val="0"/>
            <c:plus>
              <c:numRef>
                <c:f>subchronic!$AF$61:$AF$64</c:f>
                <c:numCache>
                  <c:formatCode>General</c:formatCode>
                  <c:ptCount val="4"/>
                  <c:pt idx="0">
                    <c:v>0.53795910625244769</c:v>
                  </c:pt>
                  <c:pt idx="1">
                    <c:v>1.0066777041338422</c:v>
                  </c:pt>
                  <c:pt idx="2">
                    <c:v>0.28705400188839614</c:v>
                  </c:pt>
                  <c:pt idx="3">
                    <c:v>0.76092049518986959</c:v>
                  </c:pt>
                </c:numCache>
              </c:numRef>
            </c:plus>
            <c:minus>
              <c:numRef>
                <c:f>subchronic!$AF$61:$AF$64</c:f>
                <c:numCache>
                  <c:formatCode>General</c:formatCode>
                  <c:ptCount val="4"/>
                  <c:pt idx="0">
                    <c:v>0.53795910625244769</c:v>
                  </c:pt>
                  <c:pt idx="1">
                    <c:v>1.0066777041338422</c:v>
                  </c:pt>
                  <c:pt idx="2">
                    <c:v>0.28705400188839614</c:v>
                  </c:pt>
                  <c:pt idx="3">
                    <c:v>0.76092049518986959</c:v>
                  </c:pt>
                </c:numCache>
              </c:numRef>
            </c:minus>
          </c:errBars>
          <c:cat>
            <c:strRef>
              <c:f>subchronic!$AD$34:$AD$37</c:f>
              <c:strCache>
                <c:ptCount val="4"/>
                <c:pt idx="0">
                  <c:v>control</c:v>
                </c:pt>
                <c:pt idx="1">
                  <c:v>30mg/kg</c:v>
                </c:pt>
                <c:pt idx="2">
                  <c:v>50mg/kg</c:v>
                </c:pt>
                <c:pt idx="3">
                  <c:v>70mg/kg</c:v>
                </c:pt>
              </c:strCache>
            </c:strRef>
          </c:cat>
          <c:val>
            <c:numRef>
              <c:f>subchronic!$AE$34:$AE$37</c:f>
              <c:numCache>
                <c:formatCode>General</c:formatCode>
                <c:ptCount val="4"/>
                <c:pt idx="0">
                  <c:v>48.52</c:v>
                </c:pt>
                <c:pt idx="1">
                  <c:v>48.179999999999993</c:v>
                </c:pt>
                <c:pt idx="2">
                  <c:v>47.379999999999995</c:v>
                </c:pt>
                <c:pt idx="3">
                  <c:v>49.2</c:v>
                </c:pt>
              </c:numCache>
            </c:numRef>
          </c:val>
        </c:ser>
        <c:ser>
          <c:idx val="1"/>
          <c:order val="1"/>
          <c:tx>
            <c:strRef>
              <c:f>subchronic!$AF$33</c:f>
              <c:strCache>
                <c:ptCount val="1"/>
                <c:pt idx="0">
                  <c:v>Post-treatment </c:v>
                </c:pt>
              </c:strCache>
            </c:strRef>
          </c:tx>
          <c:invertIfNegative val="0"/>
          <c:errBars>
            <c:errBarType val="both"/>
            <c:errValType val="cust"/>
            <c:noEndCap val="0"/>
            <c:plus>
              <c:numRef>
                <c:f>subchronic!$AG$61:$AG$64</c:f>
                <c:numCache>
                  <c:formatCode>General</c:formatCode>
                  <c:ptCount val="4"/>
                  <c:pt idx="0">
                    <c:v>0.4081666326390801</c:v>
                  </c:pt>
                  <c:pt idx="1">
                    <c:v>0.60530983801684246</c:v>
                  </c:pt>
                  <c:pt idx="2">
                    <c:v>0.34409301068186576</c:v>
                  </c:pt>
                  <c:pt idx="3">
                    <c:v>0.69885620838631202</c:v>
                  </c:pt>
                </c:numCache>
              </c:numRef>
            </c:plus>
            <c:minus>
              <c:numRef>
                <c:f>subchronic!$AG$61:$AG$64</c:f>
                <c:numCache>
                  <c:formatCode>General</c:formatCode>
                  <c:ptCount val="4"/>
                  <c:pt idx="0">
                    <c:v>0.4081666326390801</c:v>
                  </c:pt>
                  <c:pt idx="1">
                    <c:v>0.60530983801684246</c:v>
                  </c:pt>
                  <c:pt idx="2">
                    <c:v>0.34409301068186576</c:v>
                  </c:pt>
                  <c:pt idx="3">
                    <c:v>0.69885620838631202</c:v>
                  </c:pt>
                </c:numCache>
              </c:numRef>
            </c:minus>
          </c:errBars>
          <c:cat>
            <c:strRef>
              <c:f>subchronic!$AD$34:$AD$37</c:f>
              <c:strCache>
                <c:ptCount val="4"/>
                <c:pt idx="0">
                  <c:v>control</c:v>
                </c:pt>
                <c:pt idx="1">
                  <c:v>30mg/kg</c:v>
                </c:pt>
                <c:pt idx="2">
                  <c:v>50mg/kg</c:v>
                </c:pt>
                <c:pt idx="3">
                  <c:v>70mg/kg</c:v>
                </c:pt>
              </c:strCache>
            </c:strRef>
          </c:cat>
          <c:val>
            <c:numRef>
              <c:f>subchronic!$AF$34:$AF$37</c:f>
              <c:numCache>
                <c:formatCode>General</c:formatCode>
                <c:ptCount val="4"/>
                <c:pt idx="0">
                  <c:v>49.56</c:v>
                </c:pt>
                <c:pt idx="1">
                  <c:v>49.120000000000005</c:v>
                </c:pt>
                <c:pt idx="2">
                  <c:v>49.519999999999996</c:v>
                </c:pt>
                <c:pt idx="3">
                  <c:v>49.42</c:v>
                </c:pt>
              </c:numCache>
            </c:numRef>
          </c:val>
        </c:ser>
        <c:ser>
          <c:idx val="2"/>
          <c:order val="2"/>
          <c:tx>
            <c:strRef>
              <c:f>subchronic!$AG$33</c:f>
              <c:strCache>
                <c:ptCount val="1"/>
              </c:strCache>
            </c:strRef>
          </c:tx>
          <c:invertIfNegative val="0"/>
          <c:cat>
            <c:strRef>
              <c:f>subchronic!$AD$34:$AD$37</c:f>
              <c:strCache>
                <c:ptCount val="4"/>
                <c:pt idx="0">
                  <c:v>control</c:v>
                </c:pt>
                <c:pt idx="1">
                  <c:v>30mg/kg</c:v>
                </c:pt>
                <c:pt idx="2">
                  <c:v>50mg/kg</c:v>
                </c:pt>
                <c:pt idx="3">
                  <c:v>70mg/kg</c:v>
                </c:pt>
              </c:strCache>
            </c:strRef>
          </c:cat>
          <c:val>
            <c:numRef>
              <c:f>subchronic!$AG$34:$AG$37</c:f>
              <c:numCache>
                <c:formatCode>General</c:formatCode>
                <c:ptCount val="4"/>
              </c:numCache>
            </c:numRef>
          </c:val>
        </c:ser>
        <c:dLbls>
          <c:showLegendKey val="0"/>
          <c:showVal val="0"/>
          <c:showCatName val="0"/>
          <c:showSerName val="0"/>
          <c:showPercent val="0"/>
          <c:showBubbleSize val="0"/>
        </c:dLbls>
        <c:gapWidth val="150"/>
        <c:axId val="82875392"/>
        <c:axId val="82353472"/>
      </c:barChart>
      <c:catAx>
        <c:axId val="82875392"/>
        <c:scaling>
          <c:orientation val="minMax"/>
        </c:scaling>
        <c:delete val="0"/>
        <c:axPos val="b"/>
        <c:title>
          <c:tx>
            <c:rich>
              <a:bodyPr/>
              <a:lstStyle/>
              <a:p>
                <a:pPr>
                  <a:defRPr/>
                </a:pPr>
                <a:endParaRPr lang="en-US"/>
              </a:p>
            </c:rich>
          </c:tx>
          <c:overlay val="0"/>
        </c:title>
        <c:majorTickMark val="out"/>
        <c:minorTickMark val="none"/>
        <c:tickLblPos val="nextTo"/>
        <c:crossAx val="82353472"/>
        <c:crosses val="autoZero"/>
        <c:auto val="1"/>
        <c:lblAlgn val="ctr"/>
        <c:lblOffset val="100"/>
        <c:noMultiLvlLbl val="0"/>
      </c:catAx>
      <c:valAx>
        <c:axId val="82353472"/>
        <c:scaling>
          <c:orientation val="minMax"/>
        </c:scaling>
        <c:delete val="0"/>
        <c:axPos val="l"/>
        <c:title>
          <c:tx>
            <c:rich>
              <a:bodyPr rot="-5400000" vert="horz"/>
              <a:lstStyle/>
              <a:p>
                <a:pPr>
                  <a:defRPr/>
                </a:pPr>
                <a:r>
                  <a:rPr lang="en-US"/>
                  <a:t>PCV(%)</a:t>
                </a:r>
              </a:p>
              <a:p>
                <a:pPr>
                  <a:defRPr/>
                </a:pPr>
                <a:endParaRPr lang="en-US"/>
              </a:p>
            </c:rich>
          </c:tx>
          <c:overlay val="0"/>
        </c:title>
        <c:numFmt formatCode="General" sourceLinked="1"/>
        <c:majorTickMark val="out"/>
        <c:minorTickMark val="none"/>
        <c:tickLblPos val="nextTo"/>
        <c:crossAx val="82875392"/>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84613298845479"/>
          <c:y val="2.3351603081374215E-2"/>
          <c:w val="0.53587467991341486"/>
          <c:h val="0.8322027287865702"/>
        </c:manualLayout>
      </c:layout>
      <c:lineChart>
        <c:grouping val="standard"/>
        <c:varyColors val="0"/>
        <c:ser>
          <c:idx val="0"/>
          <c:order val="0"/>
          <c:tx>
            <c:strRef>
              <c:f>'4 graph'!$A$19</c:f>
              <c:strCache>
                <c:ptCount val="1"/>
                <c:pt idx="0">
                  <c:v>Negative control)</c:v>
                </c:pt>
              </c:strCache>
            </c:strRef>
          </c:tx>
          <c:errBars>
            <c:errDir val="y"/>
            <c:errBarType val="both"/>
            <c:errValType val="cust"/>
            <c:noEndCap val="0"/>
            <c:plus>
              <c:numRef>
                <c:f>'4 graph'!$B$26:$H$26</c:f>
                <c:numCache>
                  <c:formatCode>General</c:formatCode>
                  <c:ptCount val="7"/>
                  <c:pt idx="0">
                    <c:v>0</c:v>
                  </c:pt>
                  <c:pt idx="1">
                    <c:v>0.48270073544588382</c:v>
                  </c:pt>
                  <c:pt idx="2">
                    <c:v>1.2872451204024804</c:v>
                  </c:pt>
                  <c:pt idx="3">
                    <c:v>0.79874902190854902</c:v>
                  </c:pt>
                  <c:pt idx="4">
                    <c:v>1.6364595931461301</c:v>
                  </c:pt>
                  <c:pt idx="5">
                    <c:v>2.0404247923737393</c:v>
                  </c:pt>
                </c:numCache>
              </c:numRef>
            </c:plus>
            <c:minus>
              <c:numRef>
                <c:f>'4 graph'!$B$26:$H$26</c:f>
                <c:numCache>
                  <c:formatCode>General</c:formatCode>
                  <c:ptCount val="7"/>
                  <c:pt idx="0">
                    <c:v>0</c:v>
                  </c:pt>
                  <c:pt idx="1">
                    <c:v>0.48270073544588382</c:v>
                  </c:pt>
                  <c:pt idx="2">
                    <c:v>1.2872451204024804</c:v>
                  </c:pt>
                  <c:pt idx="3">
                    <c:v>0.79874902190854902</c:v>
                  </c:pt>
                  <c:pt idx="4">
                    <c:v>1.6364595931461301</c:v>
                  </c:pt>
                  <c:pt idx="5">
                    <c:v>2.0404247923737393</c:v>
                  </c:pt>
                </c:numCache>
              </c:numRef>
            </c:minus>
          </c:errBars>
          <c:cat>
            <c:numRef>
              <c:f>'4 graph'!$B$18:$Q$18</c:f>
              <c:numCache>
                <c:formatCode>General</c:formatCode>
                <c:ptCount val="16"/>
                <c:pt idx="0">
                  <c:v>0</c:v>
                </c:pt>
                <c:pt idx="1">
                  <c:v>1</c:v>
                </c:pt>
                <c:pt idx="2">
                  <c:v>3</c:v>
                </c:pt>
                <c:pt idx="3">
                  <c:v>5</c:v>
                </c:pt>
                <c:pt idx="4">
                  <c:v>7</c:v>
                </c:pt>
                <c:pt idx="5">
                  <c:v>9</c:v>
                </c:pt>
                <c:pt idx="6">
                  <c:v>11</c:v>
                </c:pt>
                <c:pt idx="7">
                  <c:v>13</c:v>
                </c:pt>
                <c:pt idx="8">
                  <c:v>15</c:v>
                </c:pt>
                <c:pt idx="9">
                  <c:v>17</c:v>
                </c:pt>
                <c:pt idx="10">
                  <c:v>19</c:v>
                </c:pt>
                <c:pt idx="11">
                  <c:v>21</c:v>
                </c:pt>
                <c:pt idx="12">
                  <c:v>23</c:v>
                </c:pt>
                <c:pt idx="13">
                  <c:v>25</c:v>
                </c:pt>
                <c:pt idx="14">
                  <c:v>27</c:v>
                </c:pt>
                <c:pt idx="15">
                  <c:v>29</c:v>
                </c:pt>
              </c:numCache>
            </c:numRef>
          </c:cat>
          <c:val>
            <c:numRef>
              <c:f>'4 graph'!$B$19:$Q$19</c:f>
              <c:numCache>
                <c:formatCode>0.00</c:formatCode>
                <c:ptCount val="16"/>
                <c:pt idx="0">
                  <c:v>0</c:v>
                </c:pt>
                <c:pt idx="1">
                  <c:v>5.6400000000000006</c:v>
                </c:pt>
                <c:pt idx="2">
                  <c:v>9.7200000000000006</c:v>
                </c:pt>
                <c:pt idx="3">
                  <c:v>14.560000000000002</c:v>
                </c:pt>
                <c:pt idx="4">
                  <c:v>15.239999999999998</c:v>
                </c:pt>
                <c:pt idx="5">
                  <c:v>20.033333333333307</c:v>
                </c:pt>
              </c:numCache>
            </c:numRef>
          </c:val>
          <c:smooth val="0"/>
        </c:ser>
        <c:ser>
          <c:idx val="1"/>
          <c:order val="1"/>
          <c:tx>
            <c:strRef>
              <c:f>'4 graph'!$A$20</c:f>
              <c:strCache>
                <c:ptCount val="1"/>
                <c:pt idx="0">
                  <c:v>Positive control</c:v>
                </c:pt>
              </c:strCache>
            </c:strRef>
          </c:tx>
          <c:errBars>
            <c:errDir val="y"/>
            <c:errBarType val="both"/>
            <c:errValType val="cust"/>
            <c:noEndCap val="0"/>
            <c:plus>
              <c:numRef>
                <c:f>'4 graph'!$B$27:$I$27</c:f>
                <c:numCache>
                  <c:formatCode>General</c:formatCode>
                  <c:ptCount val="8"/>
                  <c:pt idx="0">
                    <c:v>0</c:v>
                  </c:pt>
                  <c:pt idx="1">
                    <c:v>1.2537942414926011</c:v>
                  </c:pt>
                  <c:pt idx="2">
                    <c:v>1.010940156488026</c:v>
                  </c:pt>
                  <c:pt idx="3">
                    <c:v>0.32710854467592282</c:v>
                  </c:pt>
                  <c:pt idx="4">
                    <c:v>0.13038404810405169</c:v>
                  </c:pt>
                  <c:pt idx="5">
                    <c:v>0.13038404810405282</c:v>
                  </c:pt>
                  <c:pt idx="6">
                    <c:v>0</c:v>
                  </c:pt>
                  <c:pt idx="7">
                    <c:v>0</c:v>
                  </c:pt>
                </c:numCache>
              </c:numRef>
            </c:plus>
            <c:minus>
              <c:numRef>
                <c:f>'4 graph'!$B$27:$I$27</c:f>
                <c:numCache>
                  <c:formatCode>General</c:formatCode>
                  <c:ptCount val="8"/>
                  <c:pt idx="0">
                    <c:v>0</c:v>
                  </c:pt>
                  <c:pt idx="1">
                    <c:v>1.2537942414926011</c:v>
                  </c:pt>
                  <c:pt idx="2">
                    <c:v>1.010940156488026</c:v>
                  </c:pt>
                  <c:pt idx="3">
                    <c:v>0.32710854467592282</c:v>
                  </c:pt>
                  <c:pt idx="4">
                    <c:v>0.13038404810405169</c:v>
                  </c:pt>
                  <c:pt idx="5">
                    <c:v>0.13038404810405282</c:v>
                  </c:pt>
                  <c:pt idx="6">
                    <c:v>0</c:v>
                  </c:pt>
                  <c:pt idx="7">
                    <c:v>0</c:v>
                  </c:pt>
                </c:numCache>
              </c:numRef>
            </c:minus>
          </c:errBars>
          <c:cat>
            <c:numRef>
              <c:f>'4 graph'!$B$18:$Q$18</c:f>
              <c:numCache>
                <c:formatCode>General</c:formatCode>
                <c:ptCount val="16"/>
                <c:pt idx="0">
                  <c:v>0</c:v>
                </c:pt>
                <c:pt idx="1">
                  <c:v>1</c:v>
                </c:pt>
                <c:pt idx="2">
                  <c:v>3</c:v>
                </c:pt>
                <c:pt idx="3">
                  <c:v>5</c:v>
                </c:pt>
                <c:pt idx="4">
                  <c:v>7</c:v>
                </c:pt>
                <c:pt idx="5">
                  <c:v>9</c:v>
                </c:pt>
                <c:pt idx="6">
                  <c:v>11</c:v>
                </c:pt>
                <c:pt idx="7">
                  <c:v>13</c:v>
                </c:pt>
                <c:pt idx="8">
                  <c:v>15</c:v>
                </c:pt>
                <c:pt idx="9">
                  <c:v>17</c:v>
                </c:pt>
                <c:pt idx="10">
                  <c:v>19</c:v>
                </c:pt>
                <c:pt idx="11">
                  <c:v>21</c:v>
                </c:pt>
                <c:pt idx="12">
                  <c:v>23</c:v>
                </c:pt>
                <c:pt idx="13">
                  <c:v>25</c:v>
                </c:pt>
                <c:pt idx="14">
                  <c:v>27</c:v>
                </c:pt>
                <c:pt idx="15">
                  <c:v>29</c:v>
                </c:pt>
              </c:numCache>
            </c:numRef>
          </c:cat>
          <c:val>
            <c:numRef>
              <c:f>'4 graph'!$B$20:$Q$20</c:f>
              <c:numCache>
                <c:formatCode>General</c:formatCode>
                <c:ptCount val="16"/>
                <c:pt idx="0">
                  <c:v>0</c:v>
                </c:pt>
                <c:pt idx="1">
                  <c:v>5.72</c:v>
                </c:pt>
                <c:pt idx="2">
                  <c:v>9.52</c:v>
                </c:pt>
                <c:pt idx="3">
                  <c:v>1.8199999999999992</c:v>
                </c:pt>
                <c:pt idx="4">
                  <c:v>0.8200000000000004</c:v>
                </c:pt>
                <c:pt idx="5">
                  <c:v>0.52</c:v>
                </c:pt>
                <c:pt idx="6">
                  <c:v>0</c:v>
                </c:pt>
                <c:pt idx="7">
                  <c:v>0</c:v>
                </c:pt>
                <c:pt idx="8">
                  <c:v>0</c:v>
                </c:pt>
                <c:pt idx="9">
                  <c:v>0</c:v>
                </c:pt>
                <c:pt idx="10">
                  <c:v>0</c:v>
                </c:pt>
                <c:pt idx="11">
                  <c:v>0</c:v>
                </c:pt>
                <c:pt idx="12">
                  <c:v>0</c:v>
                </c:pt>
                <c:pt idx="13">
                  <c:v>0</c:v>
                </c:pt>
                <c:pt idx="14">
                  <c:v>0</c:v>
                </c:pt>
                <c:pt idx="15">
                  <c:v>0</c:v>
                </c:pt>
              </c:numCache>
            </c:numRef>
          </c:val>
          <c:smooth val="0"/>
        </c:ser>
        <c:ser>
          <c:idx val="2"/>
          <c:order val="2"/>
          <c:tx>
            <c:strRef>
              <c:f>'4 graph'!$A$21</c:f>
              <c:strCache>
                <c:ptCount val="1"/>
                <c:pt idx="0">
                  <c:v>Infected+30mg/kg  crude extract</c:v>
                </c:pt>
              </c:strCache>
            </c:strRef>
          </c:tx>
          <c:errBars>
            <c:errDir val="y"/>
            <c:errBarType val="both"/>
            <c:errValType val="cust"/>
            <c:noEndCap val="0"/>
            <c:plus>
              <c:numRef>
                <c:f>'4 graph'!$B$28:$Q$28</c:f>
                <c:numCache>
                  <c:formatCode>General</c:formatCode>
                  <c:ptCount val="16"/>
                  <c:pt idx="0">
                    <c:v>0</c:v>
                  </c:pt>
                  <c:pt idx="1">
                    <c:v>1.7093858546273248</c:v>
                  </c:pt>
                  <c:pt idx="2">
                    <c:v>1.1193748255164639</c:v>
                  </c:pt>
                  <c:pt idx="3">
                    <c:v>0.85848704125340369</c:v>
                  </c:pt>
                  <c:pt idx="4">
                    <c:v>0.89274856482663167</c:v>
                  </c:pt>
                  <c:pt idx="5">
                    <c:v>1.5609825965290827</c:v>
                  </c:pt>
                  <c:pt idx="6">
                    <c:v>2.8844410203711841</c:v>
                  </c:pt>
                  <c:pt idx="7">
                    <c:v>0.70710678118654757</c:v>
                  </c:pt>
                  <c:pt idx="8">
                    <c:v>1.131370849898464</c:v>
                  </c:pt>
                  <c:pt idx="9">
                    <c:v>1.4142135623730951</c:v>
                  </c:pt>
                  <c:pt idx="10">
                    <c:v>0</c:v>
                  </c:pt>
                </c:numCache>
              </c:numRef>
            </c:plus>
            <c:minus>
              <c:numRef>
                <c:f>'4 graph'!$B$28:$R$28</c:f>
                <c:numCache>
                  <c:formatCode>General</c:formatCode>
                  <c:ptCount val="17"/>
                  <c:pt idx="0">
                    <c:v>0</c:v>
                  </c:pt>
                  <c:pt idx="1">
                    <c:v>1.7093858546273248</c:v>
                  </c:pt>
                  <c:pt idx="2">
                    <c:v>1.1193748255164639</c:v>
                  </c:pt>
                  <c:pt idx="3">
                    <c:v>0.85848704125340369</c:v>
                  </c:pt>
                  <c:pt idx="4">
                    <c:v>0.89274856482663167</c:v>
                  </c:pt>
                  <c:pt idx="5">
                    <c:v>1.5609825965290827</c:v>
                  </c:pt>
                  <c:pt idx="6">
                    <c:v>2.8844410203711841</c:v>
                  </c:pt>
                  <c:pt idx="7">
                    <c:v>0.70710678118654757</c:v>
                  </c:pt>
                  <c:pt idx="8">
                    <c:v>1.131370849898464</c:v>
                  </c:pt>
                  <c:pt idx="9">
                    <c:v>1.4142135623730951</c:v>
                  </c:pt>
                  <c:pt idx="10">
                    <c:v>0</c:v>
                  </c:pt>
                </c:numCache>
              </c:numRef>
            </c:minus>
          </c:errBars>
          <c:cat>
            <c:numRef>
              <c:f>'4 graph'!$B$18:$Q$18</c:f>
              <c:numCache>
                <c:formatCode>General</c:formatCode>
                <c:ptCount val="16"/>
                <c:pt idx="0">
                  <c:v>0</c:v>
                </c:pt>
                <c:pt idx="1">
                  <c:v>1</c:v>
                </c:pt>
                <c:pt idx="2">
                  <c:v>3</c:v>
                </c:pt>
                <c:pt idx="3">
                  <c:v>5</c:v>
                </c:pt>
                <c:pt idx="4">
                  <c:v>7</c:v>
                </c:pt>
                <c:pt idx="5">
                  <c:v>9</c:v>
                </c:pt>
                <c:pt idx="6">
                  <c:v>11</c:v>
                </c:pt>
                <c:pt idx="7">
                  <c:v>13</c:v>
                </c:pt>
                <c:pt idx="8">
                  <c:v>15</c:v>
                </c:pt>
                <c:pt idx="9">
                  <c:v>17</c:v>
                </c:pt>
                <c:pt idx="10">
                  <c:v>19</c:v>
                </c:pt>
                <c:pt idx="11">
                  <c:v>21</c:v>
                </c:pt>
                <c:pt idx="12">
                  <c:v>23</c:v>
                </c:pt>
                <c:pt idx="13">
                  <c:v>25</c:v>
                </c:pt>
                <c:pt idx="14">
                  <c:v>27</c:v>
                </c:pt>
                <c:pt idx="15">
                  <c:v>29</c:v>
                </c:pt>
              </c:numCache>
            </c:numRef>
          </c:cat>
          <c:val>
            <c:numRef>
              <c:f>'4 graph'!$B$21:$Q$21</c:f>
              <c:numCache>
                <c:formatCode>General</c:formatCode>
                <c:ptCount val="16"/>
                <c:pt idx="0">
                  <c:v>0</c:v>
                </c:pt>
                <c:pt idx="1">
                  <c:v>5.5200000000000005</c:v>
                </c:pt>
                <c:pt idx="2">
                  <c:v>13.040000000000001</c:v>
                </c:pt>
                <c:pt idx="3">
                  <c:v>8.8200000000000021</c:v>
                </c:pt>
                <c:pt idx="4">
                  <c:v>8.2800000000000011</c:v>
                </c:pt>
                <c:pt idx="5">
                  <c:v>6.1499999999999995</c:v>
                </c:pt>
                <c:pt idx="6">
                  <c:v>12.200000000000001</c:v>
                </c:pt>
                <c:pt idx="7">
                  <c:v>13.5</c:v>
                </c:pt>
                <c:pt idx="8">
                  <c:v>18.7</c:v>
                </c:pt>
                <c:pt idx="9">
                  <c:v>20</c:v>
                </c:pt>
                <c:pt idx="10">
                  <c:v>27</c:v>
                </c:pt>
              </c:numCache>
            </c:numRef>
          </c:val>
          <c:smooth val="0"/>
        </c:ser>
        <c:ser>
          <c:idx val="3"/>
          <c:order val="3"/>
          <c:tx>
            <c:strRef>
              <c:f>'4 graph'!$A$22</c:f>
              <c:strCache>
                <c:ptCount val="1"/>
                <c:pt idx="0">
                  <c:v>Infected+50mg/kg crude extract</c:v>
                </c:pt>
              </c:strCache>
            </c:strRef>
          </c:tx>
          <c:errBars>
            <c:errDir val="y"/>
            <c:errBarType val="both"/>
            <c:errValType val="cust"/>
            <c:noEndCap val="0"/>
            <c:plus>
              <c:numRef>
                <c:f>'4 graph'!$B$29:$R$29</c:f>
                <c:numCache>
                  <c:formatCode>General</c:formatCode>
                  <c:ptCount val="17"/>
                  <c:pt idx="0">
                    <c:v>0</c:v>
                  </c:pt>
                  <c:pt idx="1">
                    <c:v>1.2872451204024804</c:v>
                  </c:pt>
                  <c:pt idx="2">
                    <c:v>1.010940156488026</c:v>
                  </c:pt>
                  <c:pt idx="3">
                    <c:v>0.51234753829797808</c:v>
                  </c:pt>
                  <c:pt idx="4">
                    <c:v>0.42720018726588216</c:v>
                  </c:pt>
                  <c:pt idx="5">
                    <c:v>3.1879983270593706</c:v>
                  </c:pt>
                  <c:pt idx="6">
                    <c:v>1</c:v>
                  </c:pt>
                  <c:pt idx="7">
                    <c:v>2.4986663109213447</c:v>
                  </c:pt>
                  <c:pt idx="8">
                    <c:v>2.3334523779155676</c:v>
                  </c:pt>
                  <c:pt idx="9">
                    <c:v>5.6568542494923779</c:v>
                  </c:pt>
                </c:numCache>
              </c:numRef>
            </c:plus>
            <c:minus>
              <c:numRef>
                <c:f>'4 graph'!$B$29:$R$29</c:f>
                <c:numCache>
                  <c:formatCode>General</c:formatCode>
                  <c:ptCount val="17"/>
                  <c:pt idx="0">
                    <c:v>0</c:v>
                  </c:pt>
                  <c:pt idx="1">
                    <c:v>1.2872451204024804</c:v>
                  </c:pt>
                  <c:pt idx="2">
                    <c:v>1.010940156488026</c:v>
                  </c:pt>
                  <c:pt idx="3">
                    <c:v>0.51234753829797808</c:v>
                  </c:pt>
                  <c:pt idx="4">
                    <c:v>0.42720018726588216</c:v>
                  </c:pt>
                  <c:pt idx="5">
                    <c:v>3.1879983270593706</c:v>
                  </c:pt>
                  <c:pt idx="6">
                    <c:v>1</c:v>
                  </c:pt>
                  <c:pt idx="7">
                    <c:v>2.4986663109213447</c:v>
                  </c:pt>
                  <c:pt idx="8">
                    <c:v>2.3334523779155676</c:v>
                  </c:pt>
                  <c:pt idx="9">
                    <c:v>5.6568542494923779</c:v>
                  </c:pt>
                </c:numCache>
              </c:numRef>
            </c:minus>
          </c:errBars>
          <c:cat>
            <c:numRef>
              <c:f>'4 graph'!$B$18:$Q$18</c:f>
              <c:numCache>
                <c:formatCode>General</c:formatCode>
                <c:ptCount val="16"/>
                <c:pt idx="0">
                  <c:v>0</c:v>
                </c:pt>
                <c:pt idx="1">
                  <c:v>1</c:v>
                </c:pt>
                <c:pt idx="2">
                  <c:v>3</c:v>
                </c:pt>
                <c:pt idx="3">
                  <c:v>5</c:v>
                </c:pt>
                <c:pt idx="4">
                  <c:v>7</c:v>
                </c:pt>
                <c:pt idx="5">
                  <c:v>9</c:v>
                </c:pt>
                <c:pt idx="6">
                  <c:v>11</c:v>
                </c:pt>
                <c:pt idx="7">
                  <c:v>13</c:v>
                </c:pt>
                <c:pt idx="8">
                  <c:v>15</c:v>
                </c:pt>
                <c:pt idx="9">
                  <c:v>17</c:v>
                </c:pt>
                <c:pt idx="10">
                  <c:v>19</c:v>
                </c:pt>
                <c:pt idx="11">
                  <c:v>21</c:v>
                </c:pt>
                <c:pt idx="12">
                  <c:v>23</c:v>
                </c:pt>
                <c:pt idx="13">
                  <c:v>25</c:v>
                </c:pt>
                <c:pt idx="14">
                  <c:v>27</c:v>
                </c:pt>
                <c:pt idx="15">
                  <c:v>29</c:v>
                </c:pt>
              </c:numCache>
            </c:numRef>
          </c:cat>
          <c:val>
            <c:numRef>
              <c:f>'4 graph'!$B$22:$Q$22</c:f>
              <c:numCache>
                <c:formatCode>General</c:formatCode>
                <c:ptCount val="16"/>
                <c:pt idx="0">
                  <c:v>0</c:v>
                </c:pt>
                <c:pt idx="1">
                  <c:v>5.2200000000000006</c:v>
                </c:pt>
                <c:pt idx="2">
                  <c:v>9.52</c:v>
                </c:pt>
                <c:pt idx="3">
                  <c:v>7.5249999999999977</c:v>
                </c:pt>
                <c:pt idx="4">
                  <c:v>6.1249999999999956</c:v>
                </c:pt>
                <c:pt idx="5">
                  <c:v>10.25</c:v>
                </c:pt>
                <c:pt idx="6">
                  <c:v>13</c:v>
                </c:pt>
                <c:pt idx="7">
                  <c:v>17.333333333333311</c:v>
                </c:pt>
                <c:pt idx="8">
                  <c:v>21.950000000000003</c:v>
                </c:pt>
                <c:pt idx="9">
                  <c:v>30.799999999999986</c:v>
                </c:pt>
                <c:pt idx="10">
                  <c:v>39.200000000000003</c:v>
                </c:pt>
                <c:pt idx="11">
                  <c:v>34.5</c:v>
                </c:pt>
              </c:numCache>
            </c:numRef>
          </c:val>
          <c:smooth val="0"/>
        </c:ser>
        <c:ser>
          <c:idx val="4"/>
          <c:order val="4"/>
          <c:tx>
            <c:strRef>
              <c:f>'4 graph'!$A$23</c:f>
              <c:strCache>
                <c:ptCount val="1"/>
                <c:pt idx="0">
                  <c:v>Infected+70mg/kg crude extract</c:v>
                </c:pt>
              </c:strCache>
            </c:strRef>
          </c:tx>
          <c:errBars>
            <c:errDir val="y"/>
            <c:errBarType val="both"/>
            <c:errValType val="cust"/>
            <c:noEndCap val="0"/>
            <c:plus>
              <c:numRef>
                <c:f>'4 graph'!$B$30:$U$30</c:f>
                <c:numCache>
                  <c:formatCode>General</c:formatCode>
                  <c:ptCount val="20"/>
                  <c:pt idx="0">
                    <c:v>0</c:v>
                  </c:pt>
                  <c:pt idx="1">
                    <c:v>0.70922492905988621</c:v>
                  </c:pt>
                  <c:pt idx="2">
                    <c:v>2.348403713163473</c:v>
                  </c:pt>
                  <c:pt idx="3">
                    <c:v>0.35071355833501028</c:v>
                  </c:pt>
                  <c:pt idx="4">
                    <c:v>0.60580524923443646</c:v>
                  </c:pt>
                  <c:pt idx="5">
                    <c:v>0.48989794855660634</c:v>
                  </c:pt>
                  <c:pt idx="6">
                    <c:v>2.5442746183014946</c:v>
                  </c:pt>
                  <c:pt idx="7">
                    <c:v>1.9035055380358392</c:v>
                  </c:pt>
                  <c:pt idx="8">
                    <c:v>2.4986663109214007</c:v>
                  </c:pt>
                  <c:pt idx="9">
                    <c:v>5.6047598818623294</c:v>
                  </c:pt>
                  <c:pt idx="10">
                    <c:v>0.70710678118654757</c:v>
                  </c:pt>
                  <c:pt idx="11">
                    <c:v>3.0405591591020618</c:v>
                  </c:pt>
                  <c:pt idx="12">
                    <c:v>0</c:v>
                  </c:pt>
                  <c:pt idx="13">
                    <c:v>0</c:v>
                  </c:pt>
                  <c:pt idx="14">
                    <c:v>0</c:v>
                  </c:pt>
                </c:numCache>
              </c:numRef>
            </c:plus>
            <c:minus>
              <c:numRef>
                <c:f>'4 graph'!$B$30:$T$30</c:f>
                <c:numCache>
                  <c:formatCode>General</c:formatCode>
                  <c:ptCount val="19"/>
                  <c:pt idx="0">
                    <c:v>0</c:v>
                  </c:pt>
                  <c:pt idx="1">
                    <c:v>0.70922492905988621</c:v>
                  </c:pt>
                  <c:pt idx="2">
                    <c:v>2.348403713163473</c:v>
                  </c:pt>
                  <c:pt idx="3">
                    <c:v>0.35071355833501028</c:v>
                  </c:pt>
                  <c:pt idx="4">
                    <c:v>0.60580524923443646</c:v>
                  </c:pt>
                  <c:pt idx="5">
                    <c:v>0.48989794855660634</c:v>
                  </c:pt>
                  <c:pt idx="6">
                    <c:v>2.5442746183014946</c:v>
                  </c:pt>
                  <c:pt idx="7">
                    <c:v>1.9035055380358392</c:v>
                  </c:pt>
                  <c:pt idx="8">
                    <c:v>2.4986663109214007</c:v>
                  </c:pt>
                  <c:pt idx="9">
                    <c:v>5.6047598818623294</c:v>
                  </c:pt>
                  <c:pt idx="10">
                    <c:v>0.70710678118654757</c:v>
                  </c:pt>
                  <c:pt idx="11">
                    <c:v>3.0405591591020618</c:v>
                  </c:pt>
                  <c:pt idx="12">
                    <c:v>0</c:v>
                  </c:pt>
                  <c:pt idx="13">
                    <c:v>0</c:v>
                  </c:pt>
                  <c:pt idx="14">
                    <c:v>0</c:v>
                  </c:pt>
                </c:numCache>
              </c:numRef>
            </c:minus>
          </c:errBars>
          <c:cat>
            <c:numRef>
              <c:f>'4 graph'!$B$18:$Q$18</c:f>
              <c:numCache>
                <c:formatCode>General</c:formatCode>
                <c:ptCount val="16"/>
                <c:pt idx="0">
                  <c:v>0</c:v>
                </c:pt>
                <c:pt idx="1">
                  <c:v>1</c:v>
                </c:pt>
                <c:pt idx="2">
                  <c:v>3</c:v>
                </c:pt>
                <c:pt idx="3">
                  <c:v>5</c:v>
                </c:pt>
                <c:pt idx="4">
                  <c:v>7</c:v>
                </c:pt>
                <c:pt idx="5">
                  <c:v>9</c:v>
                </c:pt>
                <c:pt idx="6">
                  <c:v>11</c:v>
                </c:pt>
                <c:pt idx="7">
                  <c:v>13</c:v>
                </c:pt>
                <c:pt idx="8">
                  <c:v>15</c:v>
                </c:pt>
                <c:pt idx="9">
                  <c:v>17</c:v>
                </c:pt>
                <c:pt idx="10">
                  <c:v>19</c:v>
                </c:pt>
                <c:pt idx="11">
                  <c:v>21</c:v>
                </c:pt>
                <c:pt idx="12">
                  <c:v>23</c:v>
                </c:pt>
                <c:pt idx="13">
                  <c:v>25</c:v>
                </c:pt>
                <c:pt idx="14">
                  <c:v>27</c:v>
                </c:pt>
                <c:pt idx="15">
                  <c:v>29</c:v>
                </c:pt>
              </c:numCache>
            </c:numRef>
          </c:cat>
          <c:val>
            <c:numRef>
              <c:f>'4 graph'!$B$23:$Q$23</c:f>
              <c:numCache>
                <c:formatCode>0.00</c:formatCode>
                <c:ptCount val="16"/>
                <c:pt idx="0">
                  <c:v>0</c:v>
                </c:pt>
                <c:pt idx="1">
                  <c:v>5.76</c:v>
                </c:pt>
                <c:pt idx="2">
                  <c:v>11.3</c:v>
                </c:pt>
                <c:pt idx="3">
                  <c:v>6.1599999999999975</c:v>
                </c:pt>
                <c:pt idx="4">
                  <c:v>5.2200000000000006</c:v>
                </c:pt>
                <c:pt idx="5">
                  <c:v>14.4</c:v>
                </c:pt>
                <c:pt idx="6">
                  <c:v>16.600000000000001</c:v>
                </c:pt>
                <c:pt idx="7">
                  <c:v>21.633333333333322</c:v>
                </c:pt>
                <c:pt idx="8">
                  <c:v>20.866666666666664</c:v>
                </c:pt>
                <c:pt idx="9">
                  <c:v>28.533333333333307</c:v>
                </c:pt>
                <c:pt idx="10">
                  <c:v>28.5</c:v>
                </c:pt>
                <c:pt idx="11">
                  <c:v>32.849999999999994</c:v>
                </c:pt>
                <c:pt idx="12">
                  <c:v>49</c:v>
                </c:pt>
                <c:pt idx="13">
                  <c:v>52.5</c:v>
                </c:pt>
                <c:pt idx="14" formatCode="General">
                  <c:v>53.6</c:v>
                </c:pt>
              </c:numCache>
            </c:numRef>
          </c:val>
          <c:smooth val="0"/>
        </c:ser>
        <c:dLbls>
          <c:showLegendKey val="0"/>
          <c:showVal val="0"/>
          <c:showCatName val="0"/>
          <c:showSerName val="0"/>
          <c:showPercent val="0"/>
          <c:showBubbleSize val="0"/>
        </c:dLbls>
        <c:marker val="1"/>
        <c:smooth val="0"/>
        <c:axId val="84332544"/>
        <c:axId val="84422016"/>
      </c:lineChart>
      <c:catAx>
        <c:axId val="84332544"/>
        <c:scaling>
          <c:orientation val="minMax"/>
        </c:scaling>
        <c:delete val="0"/>
        <c:axPos val="b"/>
        <c:title>
          <c:tx>
            <c:rich>
              <a:bodyPr/>
              <a:lstStyle/>
              <a:p>
                <a:pPr>
                  <a:defRPr/>
                </a:pPr>
                <a:r>
                  <a:rPr lang="en-US" sz="1200" b="0" i="0" baseline="0"/>
                  <a:t>Days postreatment </a:t>
                </a:r>
                <a:endParaRPr lang="en-US" sz="1200" b="0"/>
              </a:p>
              <a:p>
                <a:pPr>
                  <a:defRPr/>
                </a:pPr>
                <a:r>
                  <a:rPr lang="en-US" sz="1800" b="0" i="0" baseline="0"/>
                  <a:t> </a:t>
                </a:r>
                <a:endParaRPr lang="en-US" b="0"/>
              </a:p>
            </c:rich>
          </c:tx>
          <c:layout>
            <c:manualLayout>
              <c:xMode val="edge"/>
              <c:yMode val="edge"/>
              <c:x val="0.39393263909103909"/>
              <c:y val="0.89407725944288163"/>
            </c:manualLayout>
          </c:layout>
          <c:overlay val="0"/>
        </c:title>
        <c:numFmt formatCode="General" sourceLinked="1"/>
        <c:majorTickMark val="out"/>
        <c:minorTickMark val="none"/>
        <c:tickLblPos val="nextTo"/>
        <c:crossAx val="84422016"/>
        <c:crosses val="autoZero"/>
        <c:auto val="1"/>
        <c:lblAlgn val="ctr"/>
        <c:lblOffset val="100"/>
        <c:noMultiLvlLbl val="0"/>
      </c:catAx>
      <c:valAx>
        <c:axId val="84422016"/>
        <c:scaling>
          <c:orientation val="minMax"/>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200" b="0" i="0" baseline="0"/>
                  <a:t>Mean parasitaemia</a:t>
                </a:r>
                <a:r>
                  <a:rPr lang="en-US" sz="1200" b="1" i="0" baseline="0"/>
                  <a:t>(%)</a:t>
                </a:r>
                <a:endParaRPr lang="en-US" sz="1200"/>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200"/>
              </a:p>
            </c:rich>
          </c:tx>
          <c:overlay val="0"/>
        </c:title>
        <c:numFmt formatCode="0.00" sourceLinked="1"/>
        <c:majorTickMark val="out"/>
        <c:minorTickMark val="none"/>
        <c:tickLblPos val="nextTo"/>
        <c:crossAx val="84332544"/>
        <c:crosses val="autoZero"/>
        <c:crossBetween val="between"/>
      </c:valAx>
    </c:plotArea>
    <c:legend>
      <c:legendPos val="r"/>
      <c:layout>
        <c:manualLayout>
          <c:xMode val="edge"/>
          <c:yMode val="edge"/>
          <c:x val="0.66030947624084824"/>
          <c:y val="7.937307836520438E-2"/>
          <c:w val="0.32642352541753294"/>
          <c:h val="0.59744431946006749"/>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22328042140927E-2"/>
          <c:y val="2.2919391692212215E-2"/>
          <c:w val="0.66182628456226278"/>
          <c:h val="0.84630116336206773"/>
        </c:manualLayout>
      </c:layout>
      <c:lineChart>
        <c:grouping val="standard"/>
        <c:varyColors val="0"/>
        <c:ser>
          <c:idx val="0"/>
          <c:order val="0"/>
          <c:tx>
            <c:strRef>
              <c:f>survival!$A$29</c:f>
              <c:strCache>
                <c:ptCount val="1"/>
                <c:pt idx="0">
                  <c:v>Negative control</c:v>
                </c:pt>
              </c:strCache>
            </c:strRef>
          </c:tx>
          <c:cat>
            <c:numRef>
              <c:f>survival!$B$28:$Q$28</c:f>
              <c:numCache>
                <c:formatCode>General</c:formatCode>
                <c:ptCount val="16"/>
                <c:pt idx="0">
                  <c:v>0</c:v>
                </c:pt>
                <c:pt idx="1">
                  <c:v>1</c:v>
                </c:pt>
                <c:pt idx="2">
                  <c:v>3</c:v>
                </c:pt>
                <c:pt idx="3">
                  <c:v>5</c:v>
                </c:pt>
                <c:pt idx="4">
                  <c:v>7</c:v>
                </c:pt>
                <c:pt idx="5">
                  <c:v>9</c:v>
                </c:pt>
                <c:pt idx="6">
                  <c:v>11</c:v>
                </c:pt>
                <c:pt idx="7">
                  <c:v>13</c:v>
                </c:pt>
                <c:pt idx="8">
                  <c:v>15</c:v>
                </c:pt>
                <c:pt idx="9">
                  <c:v>17</c:v>
                </c:pt>
                <c:pt idx="10">
                  <c:v>19</c:v>
                </c:pt>
                <c:pt idx="11">
                  <c:v>21</c:v>
                </c:pt>
                <c:pt idx="12">
                  <c:v>23</c:v>
                </c:pt>
                <c:pt idx="13">
                  <c:v>25</c:v>
                </c:pt>
                <c:pt idx="14">
                  <c:v>27</c:v>
                </c:pt>
                <c:pt idx="15">
                  <c:v>29</c:v>
                </c:pt>
              </c:numCache>
            </c:numRef>
          </c:cat>
          <c:val>
            <c:numRef>
              <c:f>survival!$B$29:$Q$29</c:f>
              <c:numCache>
                <c:formatCode>General</c:formatCode>
                <c:ptCount val="16"/>
                <c:pt idx="0">
                  <c:v>100</c:v>
                </c:pt>
                <c:pt idx="1">
                  <c:v>100</c:v>
                </c:pt>
                <c:pt idx="2">
                  <c:v>100</c:v>
                </c:pt>
                <c:pt idx="3">
                  <c:v>100</c:v>
                </c:pt>
                <c:pt idx="4">
                  <c:v>100</c:v>
                </c:pt>
                <c:pt idx="5">
                  <c:v>60</c:v>
                </c:pt>
                <c:pt idx="6">
                  <c:v>0</c:v>
                </c:pt>
                <c:pt idx="7">
                  <c:v>0</c:v>
                </c:pt>
                <c:pt idx="8">
                  <c:v>0</c:v>
                </c:pt>
                <c:pt idx="9">
                  <c:v>0</c:v>
                </c:pt>
                <c:pt idx="10">
                  <c:v>0</c:v>
                </c:pt>
                <c:pt idx="11">
                  <c:v>0</c:v>
                </c:pt>
                <c:pt idx="12">
                  <c:v>0</c:v>
                </c:pt>
                <c:pt idx="13">
                  <c:v>0</c:v>
                </c:pt>
              </c:numCache>
            </c:numRef>
          </c:val>
          <c:smooth val="0"/>
        </c:ser>
        <c:ser>
          <c:idx val="1"/>
          <c:order val="1"/>
          <c:tx>
            <c:strRef>
              <c:f>survival!$A$30</c:f>
              <c:strCache>
                <c:ptCount val="1"/>
                <c:pt idx="0">
                  <c:v>positive control</c:v>
                </c:pt>
              </c:strCache>
            </c:strRef>
          </c:tx>
          <c:cat>
            <c:numRef>
              <c:f>survival!$B$28:$Q$28</c:f>
              <c:numCache>
                <c:formatCode>General</c:formatCode>
                <c:ptCount val="16"/>
                <c:pt idx="0">
                  <c:v>0</c:v>
                </c:pt>
                <c:pt idx="1">
                  <c:v>1</c:v>
                </c:pt>
                <c:pt idx="2">
                  <c:v>3</c:v>
                </c:pt>
                <c:pt idx="3">
                  <c:v>5</c:v>
                </c:pt>
                <c:pt idx="4">
                  <c:v>7</c:v>
                </c:pt>
                <c:pt idx="5">
                  <c:v>9</c:v>
                </c:pt>
                <c:pt idx="6">
                  <c:v>11</c:v>
                </c:pt>
                <c:pt idx="7">
                  <c:v>13</c:v>
                </c:pt>
                <c:pt idx="8">
                  <c:v>15</c:v>
                </c:pt>
                <c:pt idx="9">
                  <c:v>17</c:v>
                </c:pt>
                <c:pt idx="10">
                  <c:v>19</c:v>
                </c:pt>
                <c:pt idx="11">
                  <c:v>21</c:v>
                </c:pt>
                <c:pt idx="12">
                  <c:v>23</c:v>
                </c:pt>
                <c:pt idx="13">
                  <c:v>25</c:v>
                </c:pt>
                <c:pt idx="14">
                  <c:v>27</c:v>
                </c:pt>
                <c:pt idx="15">
                  <c:v>29</c:v>
                </c:pt>
              </c:numCache>
            </c:numRef>
          </c:cat>
          <c:val>
            <c:numRef>
              <c:f>survival!$B$30:$Q$30</c:f>
              <c:numCache>
                <c:formatCode>General</c:formatCode>
                <c:ptCount val="16"/>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80</c:v>
                </c:pt>
                <c:pt idx="14">
                  <c:v>80</c:v>
                </c:pt>
                <c:pt idx="15">
                  <c:v>80</c:v>
                </c:pt>
              </c:numCache>
            </c:numRef>
          </c:val>
          <c:smooth val="0"/>
        </c:ser>
        <c:ser>
          <c:idx val="2"/>
          <c:order val="2"/>
          <c:tx>
            <c:strRef>
              <c:f>survival!$A$31</c:f>
              <c:strCache>
                <c:ptCount val="1"/>
                <c:pt idx="0">
                  <c:v>Infected+30mg/kg  crude extract</c:v>
                </c:pt>
              </c:strCache>
            </c:strRef>
          </c:tx>
          <c:cat>
            <c:numRef>
              <c:f>survival!$B$28:$Q$28</c:f>
              <c:numCache>
                <c:formatCode>General</c:formatCode>
                <c:ptCount val="16"/>
                <c:pt idx="0">
                  <c:v>0</c:v>
                </c:pt>
                <c:pt idx="1">
                  <c:v>1</c:v>
                </c:pt>
                <c:pt idx="2">
                  <c:v>3</c:v>
                </c:pt>
                <c:pt idx="3">
                  <c:v>5</c:v>
                </c:pt>
                <c:pt idx="4">
                  <c:v>7</c:v>
                </c:pt>
                <c:pt idx="5">
                  <c:v>9</c:v>
                </c:pt>
                <c:pt idx="6">
                  <c:v>11</c:v>
                </c:pt>
                <c:pt idx="7">
                  <c:v>13</c:v>
                </c:pt>
                <c:pt idx="8">
                  <c:v>15</c:v>
                </c:pt>
                <c:pt idx="9">
                  <c:v>17</c:v>
                </c:pt>
                <c:pt idx="10">
                  <c:v>19</c:v>
                </c:pt>
                <c:pt idx="11">
                  <c:v>21</c:v>
                </c:pt>
                <c:pt idx="12">
                  <c:v>23</c:v>
                </c:pt>
                <c:pt idx="13">
                  <c:v>25</c:v>
                </c:pt>
                <c:pt idx="14">
                  <c:v>27</c:v>
                </c:pt>
                <c:pt idx="15">
                  <c:v>29</c:v>
                </c:pt>
              </c:numCache>
            </c:numRef>
          </c:cat>
          <c:val>
            <c:numRef>
              <c:f>survival!$B$31:$Q$31</c:f>
              <c:numCache>
                <c:formatCode>General</c:formatCode>
                <c:ptCount val="16"/>
                <c:pt idx="0">
                  <c:v>100</c:v>
                </c:pt>
                <c:pt idx="1">
                  <c:v>100</c:v>
                </c:pt>
                <c:pt idx="2">
                  <c:v>100</c:v>
                </c:pt>
                <c:pt idx="3">
                  <c:v>100</c:v>
                </c:pt>
                <c:pt idx="4">
                  <c:v>100</c:v>
                </c:pt>
                <c:pt idx="5">
                  <c:v>80</c:v>
                </c:pt>
                <c:pt idx="6">
                  <c:v>60</c:v>
                </c:pt>
                <c:pt idx="7">
                  <c:v>60</c:v>
                </c:pt>
                <c:pt idx="8">
                  <c:v>40</c:v>
                </c:pt>
                <c:pt idx="9">
                  <c:v>40</c:v>
                </c:pt>
                <c:pt idx="10">
                  <c:v>20</c:v>
                </c:pt>
                <c:pt idx="11">
                  <c:v>0</c:v>
                </c:pt>
              </c:numCache>
            </c:numRef>
          </c:val>
          <c:smooth val="0"/>
        </c:ser>
        <c:ser>
          <c:idx val="3"/>
          <c:order val="3"/>
          <c:tx>
            <c:strRef>
              <c:f>survival!$A$32</c:f>
              <c:strCache>
                <c:ptCount val="1"/>
                <c:pt idx="0">
                  <c:v>Infected+50mg/kg crude extract</c:v>
                </c:pt>
              </c:strCache>
            </c:strRef>
          </c:tx>
          <c:cat>
            <c:numRef>
              <c:f>survival!$B$28:$Q$28</c:f>
              <c:numCache>
                <c:formatCode>General</c:formatCode>
                <c:ptCount val="16"/>
                <c:pt idx="0">
                  <c:v>0</c:v>
                </c:pt>
                <c:pt idx="1">
                  <c:v>1</c:v>
                </c:pt>
                <c:pt idx="2">
                  <c:v>3</c:v>
                </c:pt>
                <c:pt idx="3">
                  <c:v>5</c:v>
                </c:pt>
                <c:pt idx="4">
                  <c:v>7</c:v>
                </c:pt>
                <c:pt idx="5">
                  <c:v>9</c:v>
                </c:pt>
                <c:pt idx="6">
                  <c:v>11</c:v>
                </c:pt>
                <c:pt idx="7">
                  <c:v>13</c:v>
                </c:pt>
                <c:pt idx="8">
                  <c:v>15</c:v>
                </c:pt>
                <c:pt idx="9">
                  <c:v>17</c:v>
                </c:pt>
                <c:pt idx="10">
                  <c:v>19</c:v>
                </c:pt>
                <c:pt idx="11">
                  <c:v>21</c:v>
                </c:pt>
                <c:pt idx="12">
                  <c:v>23</c:v>
                </c:pt>
                <c:pt idx="13">
                  <c:v>25</c:v>
                </c:pt>
                <c:pt idx="14">
                  <c:v>27</c:v>
                </c:pt>
                <c:pt idx="15">
                  <c:v>29</c:v>
                </c:pt>
              </c:numCache>
            </c:numRef>
          </c:cat>
          <c:val>
            <c:numRef>
              <c:f>survival!$B$32:$Q$32</c:f>
              <c:numCache>
                <c:formatCode>General</c:formatCode>
                <c:ptCount val="16"/>
                <c:pt idx="0">
                  <c:v>100</c:v>
                </c:pt>
                <c:pt idx="1">
                  <c:v>100</c:v>
                </c:pt>
                <c:pt idx="2">
                  <c:v>100</c:v>
                </c:pt>
                <c:pt idx="3">
                  <c:v>80</c:v>
                </c:pt>
                <c:pt idx="4">
                  <c:v>80</c:v>
                </c:pt>
                <c:pt idx="5">
                  <c:v>80</c:v>
                </c:pt>
                <c:pt idx="6">
                  <c:v>60</c:v>
                </c:pt>
                <c:pt idx="7">
                  <c:v>60</c:v>
                </c:pt>
                <c:pt idx="8">
                  <c:v>40</c:v>
                </c:pt>
                <c:pt idx="9">
                  <c:v>40</c:v>
                </c:pt>
                <c:pt idx="10">
                  <c:v>20</c:v>
                </c:pt>
                <c:pt idx="11">
                  <c:v>20</c:v>
                </c:pt>
                <c:pt idx="12">
                  <c:v>20</c:v>
                </c:pt>
                <c:pt idx="13">
                  <c:v>0</c:v>
                </c:pt>
              </c:numCache>
            </c:numRef>
          </c:val>
          <c:smooth val="0"/>
        </c:ser>
        <c:ser>
          <c:idx val="4"/>
          <c:order val="4"/>
          <c:tx>
            <c:strRef>
              <c:f>survival!$A$33</c:f>
              <c:strCache>
                <c:ptCount val="1"/>
                <c:pt idx="0">
                  <c:v>Infected+70mg/kg crude extract</c:v>
                </c:pt>
              </c:strCache>
            </c:strRef>
          </c:tx>
          <c:cat>
            <c:numRef>
              <c:f>survival!$B$28:$Q$28</c:f>
              <c:numCache>
                <c:formatCode>General</c:formatCode>
                <c:ptCount val="16"/>
                <c:pt idx="0">
                  <c:v>0</c:v>
                </c:pt>
                <c:pt idx="1">
                  <c:v>1</c:v>
                </c:pt>
                <c:pt idx="2">
                  <c:v>3</c:v>
                </c:pt>
                <c:pt idx="3">
                  <c:v>5</c:v>
                </c:pt>
                <c:pt idx="4">
                  <c:v>7</c:v>
                </c:pt>
                <c:pt idx="5">
                  <c:v>9</c:v>
                </c:pt>
                <c:pt idx="6">
                  <c:v>11</c:v>
                </c:pt>
                <c:pt idx="7">
                  <c:v>13</c:v>
                </c:pt>
                <c:pt idx="8">
                  <c:v>15</c:v>
                </c:pt>
                <c:pt idx="9">
                  <c:v>17</c:v>
                </c:pt>
                <c:pt idx="10">
                  <c:v>19</c:v>
                </c:pt>
                <c:pt idx="11">
                  <c:v>21</c:v>
                </c:pt>
                <c:pt idx="12">
                  <c:v>23</c:v>
                </c:pt>
                <c:pt idx="13">
                  <c:v>25</c:v>
                </c:pt>
                <c:pt idx="14">
                  <c:v>27</c:v>
                </c:pt>
                <c:pt idx="15">
                  <c:v>29</c:v>
                </c:pt>
              </c:numCache>
            </c:numRef>
          </c:cat>
          <c:val>
            <c:numRef>
              <c:f>survival!$B$33:$Q$33</c:f>
              <c:numCache>
                <c:formatCode>General</c:formatCode>
                <c:ptCount val="16"/>
                <c:pt idx="0">
                  <c:v>100</c:v>
                </c:pt>
                <c:pt idx="1">
                  <c:v>100</c:v>
                </c:pt>
                <c:pt idx="2">
                  <c:v>100</c:v>
                </c:pt>
                <c:pt idx="3">
                  <c:v>100</c:v>
                </c:pt>
                <c:pt idx="4">
                  <c:v>100</c:v>
                </c:pt>
                <c:pt idx="5">
                  <c:v>80</c:v>
                </c:pt>
                <c:pt idx="6">
                  <c:v>80</c:v>
                </c:pt>
                <c:pt idx="7">
                  <c:v>60</c:v>
                </c:pt>
                <c:pt idx="8">
                  <c:v>60</c:v>
                </c:pt>
                <c:pt idx="9">
                  <c:v>60</c:v>
                </c:pt>
                <c:pt idx="10">
                  <c:v>40</c:v>
                </c:pt>
                <c:pt idx="11">
                  <c:v>40</c:v>
                </c:pt>
                <c:pt idx="12">
                  <c:v>20</c:v>
                </c:pt>
                <c:pt idx="13">
                  <c:v>20</c:v>
                </c:pt>
                <c:pt idx="14">
                  <c:v>20</c:v>
                </c:pt>
                <c:pt idx="15">
                  <c:v>0</c:v>
                </c:pt>
              </c:numCache>
            </c:numRef>
          </c:val>
          <c:smooth val="0"/>
        </c:ser>
        <c:dLbls>
          <c:showLegendKey val="0"/>
          <c:showVal val="0"/>
          <c:showCatName val="0"/>
          <c:showSerName val="0"/>
          <c:showPercent val="0"/>
          <c:showBubbleSize val="0"/>
        </c:dLbls>
        <c:marker val="1"/>
        <c:smooth val="0"/>
        <c:axId val="82877952"/>
        <c:axId val="84423744"/>
      </c:lineChart>
      <c:catAx>
        <c:axId val="82877952"/>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200" b="1" i="0" baseline="0"/>
                  <a:t>Days postinfection</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200"/>
              </a:p>
            </c:rich>
          </c:tx>
          <c:overlay val="0"/>
        </c:title>
        <c:numFmt formatCode="General" sourceLinked="1"/>
        <c:majorTickMark val="out"/>
        <c:minorTickMark val="none"/>
        <c:tickLblPos val="nextTo"/>
        <c:crossAx val="84423744"/>
        <c:crosses val="autoZero"/>
        <c:auto val="1"/>
        <c:lblAlgn val="ctr"/>
        <c:lblOffset val="100"/>
        <c:noMultiLvlLbl val="0"/>
      </c:catAx>
      <c:valAx>
        <c:axId val="84423744"/>
        <c:scaling>
          <c:orientation val="minMax"/>
          <c:max val="100"/>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200" b="0" i="0" baseline="0"/>
                  <a:t>Percentage  survival</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200"/>
              </a:p>
            </c:rich>
          </c:tx>
          <c:overlay val="0"/>
        </c:title>
        <c:numFmt formatCode="General" sourceLinked="1"/>
        <c:majorTickMark val="out"/>
        <c:minorTickMark val="none"/>
        <c:tickLblPos val="nextTo"/>
        <c:crossAx val="82877952"/>
        <c:crosses val="autoZero"/>
        <c:crossBetween val="between"/>
      </c:valAx>
    </c:plotArea>
    <c:legend>
      <c:legendPos val="r"/>
      <c:layout>
        <c:manualLayout>
          <c:xMode val="edge"/>
          <c:yMode val="edge"/>
          <c:x val="0.73664591330979201"/>
          <c:y val="0.34431850155467669"/>
          <c:w val="0.24987293643284725"/>
          <c:h val="0.31136283434407502"/>
        </c:manualLayout>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0.12528</cdr:x>
      <cdr:y>0.60693</cdr:y>
    </cdr:from>
    <cdr:to>
      <cdr:x>0.24385</cdr:x>
      <cdr:y>0.81999</cdr:y>
    </cdr:to>
    <cdr:sp macro="" textlink="">
      <cdr:nvSpPr>
        <cdr:cNvPr id="2" name="TextBox 1"/>
        <cdr:cNvSpPr txBox="1"/>
      </cdr:nvSpPr>
      <cdr:spPr>
        <a:xfrm xmlns:a="http://schemas.openxmlformats.org/drawingml/2006/main">
          <a:off x="1066800" y="3228975"/>
          <a:ext cx="1009650" cy="11334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b</a:t>
          </a:r>
        </a:p>
      </cdr:txBody>
    </cdr:sp>
  </cdr:relSizeAnchor>
  <cdr:relSizeAnchor xmlns:cdr="http://schemas.openxmlformats.org/drawingml/2006/chartDrawing">
    <cdr:from>
      <cdr:x>0.33395</cdr:x>
      <cdr:y>0.49902</cdr:y>
    </cdr:from>
    <cdr:to>
      <cdr:x>0.46532</cdr:x>
      <cdr:y>0.69287</cdr:y>
    </cdr:to>
    <cdr:sp macro="" textlink="">
      <cdr:nvSpPr>
        <cdr:cNvPr id="3" name="TextBox 2"/>
        <cdr:cNvSpPr txBox="1"/>
      </cdr:nvSpPr>
      <cdr:spPr>
        <a:xfrm xmlns:a="http://schemas.openxmlformats.org/drawingml/2006/main">
          <a:off x="2109008" y="1850967"/>
          <a:ext cx="829603" cy="719032"/>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b="0"/>
            <a:t>b</a:t>
          </a:r>
        </a:p>
      </cdr:txBody>
    </cdr:sp>
  </cdr:relSizeAnchor>
  <cdr:relSizeAnchor xmlns:cdr="http://schemas.openxmlformats.org/drawingml/2006/chartDrawing">
    <cdr:from>
      <cdr:x>0.27516</cdr:x>
      <cdr:y>0.48557</cdr:y>
    </cdr:from>
    <cdr:to>
      <cdr:x>0.40268</cdr:x>
      <cdr:y>0.70003</cdr:y>
    </cdr:to>
    <cdr:sp macro="" textlink="">
      <cdr:nvSpPr>
        <cdr:cNvPr id="4" name="TextBox 3"/>
        <cdr:cNvSpPr txBox="1"/>
      </cdr:nvSpPr>
      <cdr:spPr>
        <a:xfrm xmlns:a="http://schemas.openxmlformats.org/drawingml/2006/main">
          <a:off x="1737707" y="1801091"/>
          <a:ext cx="805318" cy="795466"/>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latin typeface="+mn-lt"/>
              <a:ea typeface="+mn-ea"/>
              <a:cs typeface="+mn-cs"/>
            </a:rPr>
            <a:t>b</a:t>
          </a:r>
          <a:endParaRPr lang="en-US" sz="1100"/>
        </a:p>
      </cdr:txBody>
    </cdr:sp>
  </cdr:relSizeAnchor>
  <cdr:relSizeAnchor xmlns:cdr="http://schemas.openxmlformats.org/drawingml/2006/chartDrawing">
    <cdr:from>
      <cdr:x>0.42346</cdr:x>
      <cdr:y>0.40489</cdr:y>
    </cdr:from>
    <cdr:to>
      <cdr:x>0.55145</cdr:x>
      <cdr:y>0.5944</cdr:y>
    </cdr:to>
    <cdr:sp macro="" textlink="">
      <cdr:nvSpPr>
        <cdr:cNvPr id="5" name="TextBox 4"/>
        <cdr:cNvSpPr txBox="1"/>
      </cdr:nvSpPr>
      <cdr:spPr>
        <a:xfrm xmlns:a="http://schemas.openxmlformats.org/drawingml/2006/main">
          <a:off x="2674274" y="1501833"/>
          <a:ext cx="808270" cy="70292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latin typeface="+mn-lt"/>
              <a:ea typeface="+mn-ea"/>
              <a:cs typeface="+mn-cs"/>
            </a:rPr>
            <a:t>b</a:t>
          </a:r>
          <a:endParaRPr lang="en-US" sz="1100"/>
        </a:p>
      </cdr:txBody>
    </cdr:sp>
  </cdr:relSizeAnchor>
  <cdr:relSizeAnchor xmlns:cdr="http://schemas.openxmlformats.org/drawingml/2006/chartDrawing">
    <cdr:from>
      <cdr:x>0.57879</cdr:x>
      <cdr:y>0.37061</cdr:y>
    </cdr:from>
    <cdr:to>
      <cdr:x>0.70358</cdr:x>
      <cdr:y>0.55143</cdr:y>
    </cdr:to>
    <cdr:sp macro="" textlink="">
      <cdr:nvSpPr>
        <cdr:cNvPr id="6" name="TextBox 5"/>
        <cdr:cNvSpPr txBox="1"/>
      </cdr:nvSpPr>
      <cdr:spPr>
        <a:xfrm xmlns:a="http://schemas.openxmlformats.org/drawingml/2006/main">
          <a:off x="3655175" y="1374670"/>
          <a:ext cx="788107" cy="67069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latin typeface="+mn-lt"/>
              <a:ea typeface="+mn-ea"/>
              <a:cs typeface="+mn-cs"/>
            </a:rPr>
            <a:t>b</a:t>
          </a:r>
          <a:endParaRPr lang="en-US" sz="1100" b="1"/>
        </a:p>
      </cdr:txBody>
    </cdr:sp>
  </cdr:relSizeAnchor>
  <cdr:relSizeAnchor xmlns:cdr="http://schemas.openxmlformats.org/drawingml/2006/chartDrawing">
    <cdr:from>
      <cdr:x>0.67005</cdr:x>
      <cdr:y>0.46012</cdr:y>
    </cdr:from>
    <cdr:to>
      <cdr:x>0.79306</cdr:x>
      <cdr:y>0.632</cdr:y>
    </cdr:to>
    <cdr:sp macro="" textlink="">
      <cdr:nvSpPr>
        <cdr:cNvPr id="7" name="TextBox 6"/>
        <cdr:cNvSpPr txBox="1"/>
      </cdr:nvSpPr>
      <cdr:spPr>
        <a:xfrm xmlns:a="http://schemas.openxmlformats.org/drawingml/2006/main">
          <a:off x="4231526" y="1706681"/>
          <a:ext cx="776846" cy="637538"/>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latin typeface="+mn-lt"/>
              <a:ea typeface="+mn-ea"/>
              <a:cs typeface="+mn-cs"/>
            </a:rPr>
            <a:t>b</a:t>
          </a:r>
          <a:endParaRPr lang="en-US" sz="1100" b="1"/>
        </a:p>
      </cdr:txBody>
    </cdr:sp>
  </cdr:relSizeAnchor>
  <cdr:relSizeAnchor xmlns:cdr="http://schemas.openxmlformats.org/drawingml/2006/chartDrawing">
    <cdr:from>
      <cdr:x>0.70954</cdr:x>
      <cdr:y>0.54427</cdr:y>
    </cdr:from>
    <cdr:to>
      <cdr:x>0.83669</cdr:x>
      <cdr:y>0.73584</cdr:y>
    </cdr:to>
    <cdr:sp macro="" textlink="">
      <cdr:nvSpPr>
        <cdr:cNvPr id="8" name="TextBox 7"/>
        <cdr:cNvSpPr txBox="1"/>
      </cdr:nvSpPr>
      <cdr:spPr>
        <a:xfrm xmlns:a="http://schemas.openxmlformats.org/drawingml/2006/main">
          <a:off x="4480906" y="2018811"/>
          <a:ext cx="802999" cy="710573"/>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latin typeface="+mn-lt"/>
              <a:ea typeface="+mn-ea"/>
              <a:cs typeface="+mn-cs"/>
            </a:rPr>
            <a:t>b</a:t>
          </a:r>
          <a:endParaRPr lang="en-US" sz="1100"/>
        </a:p>
      </cdr:txBody>
    </cdr:sp>
  </cdr:relSizeAnchor>
  <cdr:relSizeAnchor xmlns:cdr="http://schemas.openxmlformats.org/drawingml/2006/chartDrawing">
    <cdr:from>
      <cdr:x>0.72972</cdr:x>
      <cdr:y>0.53174</cdr:y>
    </cdr:from>
    <cdr:to>
      <cdr:x>0.85682</cdr:x>
      <cdr:y>0.71973</cdr:y>
    </cdr:to>
    <cdr:sp macro="" textlink="">
      <cdr:nvSpPr>
        <cdr:cNvPr id="9" name="TextBox 8"/>
        <cdr:cNvSpPr txBox="1"/>
      </cdr:nvSpPr>
      <cdr:spPr>
        <a:xfrm xmlns:a="http://schemas.openxmlformats.org/drawingml/2006/main">
          <a:off x="4608368" y="1972334"/>
          <a:ext cx="802663" cy="69729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latin typeface="+mn-lt"/>
              <a:ea typeface="+mn-ea"/>
              <a:cs typeface="+mn-cs"/>
            </a:rPr>
            <a:t>b</a:t>
          </a:r>
          <a:endParaRPr lang="en-US" sz="1100"/>
        </a:p>
      </cdr:txBody>
    </cdr:sp>
  </cdr:relSizeAnchor>
  <cdr:relSizeAnchor xmlns:cdr="http://schemas.openxmlformats.org/drawingml/2006/chartDrawing">
    <cdr:from>
      <cdr:x>0.1443</cdr:x>
      <cdr:y>0.77393</cdr:y>
    </cdr:from>
    <cdr:to>
      <cdr:x>0.26622</cdr:x>
      <cdr:y>0.96859</cdr:y>
    </cdr:to>
    <cdr:sp macro="" textlink="">
      <cdr:nvSpPr>
        <cdr:cNvPr id="10" name="TextBox 9"/>
        <cdr:cNvSpPr txBox="1"/>
      </cdr:nvSpPr>
      <cdr:spPr>
        <a:xfrm xmlns:a="http://schemas.openxmlformats.org/drawingml/2006/main">
          <a:off x="911290" y="2870663"/>
          <a:ext cx="769955" cy="72204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a</a:t>
          </a:r>
        </a:p>
      </cdr:txBody>
    </cdr:sp>
  </cdr:relSizeAnchor>
  <cdr:relSizeAnchor xmlns:cdr="http://schemas.openxmlformats.org/drawingml/2006/chartDrawing">
    <cdr:from>
      <cdr:x>0.2541</cdr:x>
      <cdr:y>0.82024</cdr:y>
    </cdr:from>
    <cdr:to>
      <cdr:x>0.37584</cdr:x>
      <cdr:y>0.99966</cdr:y>
    </cdr:to>
    <cdr:sp macro="" textlink="">
      <cdr:nvSpPr>
        <cdr:cNvPr id="11" name="TextBox 10"/>
        <cdr:cNvSpPr txBox="1"/>
      </cdr:nvSpPr>
      <cdr:spPr>
        <a:xfrm xmlns:a="http://schemas.openxmlformats.org/drawingml/2006/main">
          <a:off x="1604704" y="3042458"/>
          <a:ext cx="768820" cy="66548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latin typeface="+mn-lt"/>
              <a:ea typeface="+mn-ea"/>
              <a:cs typeface="+mn-cs"/>
            </a:rPr>
            <a:t>a</a:t>
          </a:r>
          <a:endParaRPr lang="en-US"/>
        </a:p>
        <a:p xmlns:a="http://schemas.openxmlformats.org/drawingml/2006/main">
          <a:endParaRPr lang="en-US" sz="1100"/>
        </a:p>
      </cdr:txBody>
    </cdr:sp>
  </cdr:relSizeAnchor>
  <cdr:relSizeAnchor xmlns:cdr="http://schemas.openxmlformats.org/drawingml/2006/chartDrawing">
    <cdr:from>
      <cdr:x>0.29534</cdr:x>
      <cdr:y>0.72911</cdr:y>
    </cdr:from>
    <cdr:to>
      <cdr:x>0.41723</cdr:x>
      <cdr:y>0.9113</cdr:y>
    </cdr:to>
    <cdr:sp macro="" textlink="">
      <cdr:nvSpPr>
        <cdr:cNvPr id="12" name="TextBox 11"/>
        <cdr:cNvSpPr txBox="1"/>
      </cdr:nvSpPr>
      <cdr:spPr>
        <a:xfrm xmlns:a="http://schemas.openxmlformats.org/drawingml/2006/main">
          <a:off x="1865168" y="2704407"/>
          <a:ext cx="769743" cy="67579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latin typeface="+mn-lt"/>
              <a:ea typeface="+mn-ea"/>
              <a:cs typeface="+mn-cs"/>
            </a:rPr>
            <a:t>a</a:t>
          </a:r>
          <a:endParaRPr lang="en-US"/>
        </a:p>
        <a:p xmlns:a="http://schemas.openxmlformats.org/drawingml/2006/main">
          <a:endParaRPr lang="en-US" sz="1100"/>
        </a:p>
      </cdr:txBody>
    </cdr:sp>
  </cdr:relSizeAnchor>
  <cdr:relSizeAnchor xmlns:cdr="http://schemas.openxmlformats.org/drawingml/2006/chartDrawing">
    <cdr:from>
      <cdr:x>0.38661</cdr:x>
      <cdr:y>0.69175</cdr:y>
    </cdr:from>
    <cdr:to>
      <cdr:x>0.51119</cdr:x>
      <cdr:y>0.87728</cdr:y>
    </cdr:to>
    <cdr:sp macro="" textlink="">
      <cdr:nvSpPr>
        <cdr:cNvPr id="13" name="TextBox 12"/>
        <cdr:cNvSpPr txBox="1"/>
      </cdr:nvSpPr>
      <cdr:spPr>
        <a:xfrm xmlns:a="http://schemas.openxmlformats.org/drawingml/2006/main">
          <a:off x="2441517" y="2565863"/>
          <a:ext cx="786775" cy="688152"/>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latin typeface="+mn-lt"/>
              <a:ea typeface="+mn-ea"/>
              <a:cs typeface="+mn-cs"/>
            </a:rPr>
            <a:t>a</a:t>
          </a:r>
          <a:endParaRPr lang="en-US"/>
        </a:p>
        <a:p xmlns:a="http://schemas.openxmlformats.org/drawingml/2006/main">
          <a:endParaRPr lang="en-US" sz="1100"/>
        </a:p>
      </cdr:txBody>
    </cdr:sp>
  </cdr:relSizeAnchor>
  <cdr:relSizeAnchor xmlns:cdr="http://schemas.openxmlformats.org/drawingml/2006/chartDrawing">
    <cdr:from>
      <cdr:x>0.52237</cdr:x>
      <cdr:y>0.81283</cdr:y>
    </cdr:from>
    <cdr:to>
      <cdr:x>0.63982</cdr:x>
      <cdr:y>1</cdr:y>
    </cdr:to>
    <cdr:sp macro="" textlink="">
      <cdr:nvSpPr>
        <cdr:cNvPr id="14" name="TextBox 13"/>
        <cdr:cNvSpPr txBox="1"/>
      </cdr:nvSpPr>
      <cdr:spPr>
        <a:xfrm xmlns:a="http://schemas.openxmlformats.org/drawingml/2006/main">
          <a:off x="4448175" y="4324350"/>
          <a:ext cx="1000125" cy="99579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latin typeface="+mn-lt"/>
              <a:ea typeface="+mn-ea"/>
              <a:cs typeface="+mn-cs"/>
            </a:rPr>
            <a:t>a</a:t>
          </a:r>
          <a:endParaRPr lang="en-US"/>
        </a:p>
        <a:p xmlns:a="http://schemas.openxmlformats.org/drawingml/2006/main">
          <a:endParaRPr lang="en-US" sz="1100"/>
        </a:p>
      </cdr:txBody>
    </cdr:sp>
  </cdr:relSizeAnchor>
  <cdr:relSizeAnchor xmlns:cdr="http://schemas.openxmlformats.org/drawingml/2006/chartDrawing">
    <cdr:from>
      <cdr:x>0.5586</cdr:x>
      <cdr:y>0.81283</cdr:y>
    </cdr:from>
    <cdr:to>
      <cdr:x>0.68456</cdr:x>
      <cdr:y>0.99966</cdr:y>
    </cdr:to>
    <cdr:sp macro="" textlink="">
      <cdr:nvSpPr>
        <cdr:cNvPr id="15" name="TextBox 14"/>
        <cdr:cNvSpPr txBox="1"/>
      </cdr:nvSpPr>
      <cdr:spPr>
        <a:xfrm xmlns:a="http://schemas.openxmlformats.org/drawingml/2006/main">
          <a:off x="3527714" y="3014956"/>
          <a:ext cx="795452" cy="692982"/>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latin typeface="+mn-lt"/>
              <a:ea typeface="+mn-ea"/>
              <a:cs typeface="+mn-cs"/>
            </a:rPr>
            <a:t>a</a:t>
          </a:r>
          <a:endParaRPr lang="en-US"/>
        </a:p>
        <a:p xmlns:a="http://schemas.openxmlformats.org/drawingml/2006/main">
          <a:endParaRPr lang="en-US" sz="1100"/>
        </a:p>
      </cdr:txBody>
    </cdr:sp>
  </cdr:relSizeAnchor>
  <cdr:relSizeAnchor xmlns:cdr="http://schemas.openxmlformats.org/drawingml/2006/chartDrawing">
    <cdr:from>
      <cdr:x>0.53754</cdr:x>
      <cdr:y>0.57671</cdr:y>
    </cdr:from>
    <cdr:to>
      <cdr:x>0.66443</cdr:x>
      <cdr:y>0.78239</cdr:y>
    </cdr:to>
    <cdr:sp macro="" textlink="">
      <cdr:nvSpPr>
        <cdr:cNvPr id="16" name="TextBox 15"/>
        <cdr:cNvSpPr txBox="1"/>
      </cdr:nvSpPr>
      <cdr:spPr>
        <a:xfrm xmlns:a="http://schemas.openxmlformats.org/drawingml/2006/main">
          <a:off x="3394710" y="2139142"/>
          <a:ext cx="801330" cy="76290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latin typeface="+mn-lt"/>
              <a:ea typeface="+mn-ea"/>
              <a:cs typeface="+mn-cs"/>
            </a:rPr>
            <a:t>a</a:t>
          </a:r>
          <a:endParaRPr lang="en-US"/>
        </a:p>
        <a:p xmlns:a="http://schemas.openxmlformats.org/drawingml/2006/main">
          <a:endParaRPr lang="en-US" sz="1100"/>
        </a:p>
      </cdr:txBody>
    </cdr:sp>
  </cdr:relSizeAnchor>
  <cdr:relSizeAnchor xmlns:cdr="http://schemas.openxmlformats.org/drawingml/2006/chartDrawing">
    <cdr:from>
      <cdr:x>0.6016</cdr:x>
      <cdr:y>0.59977</cdr:y>
    </cdr:from>
    <cdr:to>
      <cdr:x>0.72595</cdr:x>
      <cdr:y>0.80387</cdr:y>
    </cdr:to>
    <cdr:sp macro="" textlink="">
      <cdr:nvSpPr>
        <cdr:cNvPr id="17" name="TextBox 16"/>
        <cdr:cNvSpPr txBox="1"/>
      </cdr:nvSpPr>
      <cdr:spPr>
        <a:xfrm xmlns:a="http://schemas.openxmlformats.org/drawingml/2006/main">
          <a:off x="3799263" y="2224672"/>
          <a:ext cx="785291" cy="75704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latin typeface="+mn-lt"/>
              <a:ea typeface="+mn-ea"/>
              <a:cs typeface="+mn-cs"/>
            </a:rPr>
            <a:t>a</a:t>
          </a:r>
          <a:endParaRPr lang="en-US"/>
        </a:p>
        <a:p xmlns:a="http://schemas.openxmlformats.org/drawingml/2006/main">
          <a:endParaRPr lang="en-US" sz="1100"/>
        </a:p>
      </cdr:txBody>
    </cdr:sp>
  </cdr:relSizeAnchor>
  <cdr:relSizeAnchor xmlns:cdr="http://schemas.openxmlformats.org/drawingml/2006/chartDrawing">
    <cdr:from>
      <cdr:x>0.65324</cdr:x>
      <cdr:y>0.81999</cdr:y>
    </cdr:from>
    <cdr:to>
      <cdr:x>0.77293</cdr:x>
      <cdr:y>0.99723</cdr:y>
    </cdr:to>
    <cdr:sp macro="" textlink="">
      <cdr:nvSpPr>
        <cdr:cNvPr id="18" name="TextBox 17"/>
        <cdr:cNvSpPr txBox="1"/>
      </cdr:nvSpPr>
      <cdr:spPr>
        <a:xfrm xmlns:a="http://schemas.openxmlformats.org/drawingml/2006/main">
          <a:off x="5562600" y="4362450"/>
          <a:ext cx="1019175" cy="9429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latin typeface="+mn-lt"/>
              <a:ea typeface="+mn-ea"/>
              <a:cs typeface="+mn-cs"/>
            </a:rPr>
            <a:t>a</a:t>
          </a:r>
          <a:endParaRPr lang="en-US"/>
        </a:p>
        <a:p xmlns:a="http://schemas.openxmlformats.org/drawingml/2006/main">
          <a:endParaRPr lang="en-US" sz="1100"/>
        </a:p>
      </cdr:txBody>
    </cdr:sp>
  </cdr:relSizeAnchor>
  <cdr:relSizeAnchor xmlns:cdr="http://schemas.openxmlformats.org/drawingml/2006/chartDrawing">
    <cdr:from>
      <cdr:x>0.69199</cdr:x>
      <cdr:y>0.81999</cdr:y>
    </cdr:from>
    <cdr:to>
      <cdr:x>0.81544</cdr:x>
      <cdr:y>0.99966</cdr:y>
    </cdr:to>
    <cdr:sp macro="" textlink="">
      <cdr:nvSpPr>
        <cdr:cNvPr id="19" name="TextBox 18"/>
        <cdr:cNvSpPr txBox="1"/>
      </cdr:nvSpPr>
      <cdr:spPr>
        <a:xfrm xmlns:a="http://schemas.openxmlformats.org/drawingml/2006/main">
          <a:off x="4370070" y="3041513"/>
          <a:ext cx="779636" cy="6664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latin typeface="+mn-lt"/>
              <a:ea typeface="+mn-ea"/>
              <a:cs typeface="+mn-cs"/>
            </a:rPr>
            <a:t>a</a:t>
          </a:r>
          <a:endParaRPr lang="en-US"/>
        </a:p>
        <a:p xmlns:a="http://schemas.openxmlformats.org/drawingml/2006/main">
          <a:endParaRPr lang="en-US" sz="1100"/>
        </a:p>
      </cdr:txBody>
    </cdr:sp>
  </cdr:relSizeAnchor>
  <cdr:relSizeAnchor xmlns:cdr="http://schemas.openxmlformats.org/drawingml/2006/chartDrawing">
    <cdr:from>
      <cdr:x>0.15231</cdr:x>
      <cdr:y>0.67233</cdr:y>
    </cdr:from>
    <cdr:to>
      <cdr:x>0.28188</cdr:x>
      <cdr:y>0.88265</cdr:y>
    </cdr:to>
    <cdr:sp macro="" textlink="">
      <cdr:nvSpPr>
        <cdr:cNvPr id="20" name="TextBox 19"/>
        <cdr:cNvSpPr txBox="1"/>
      </cdr:nvSpPr>
      <cdr:spPr>
        <a:xfrm xmlns:a="http://schemas.openxmlformats.org/drawingml/2006/main">
          <a:off x="961853" y="2493819"/>
          <a:ext cx="818290" cy="78011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ab</a:t>
          </a:r>
        </a:p>
      </cdr:txBody>
    </cdr:sp>
  </cdr:relSizeAnchor>
  <cdr:relSizeAnchor xmlns:cdr="http://schemas.openxmlformats.org/drawingml/2006/chartDrawing">
    <cdr:from>
      <cdr:x>0.17775</cdr:x>
      <cdr:y>0.34364</cdr:y>
    </cdr:from>
    <cdr:to>
      <cdr:x>0.30761</cdr:x>
      <cdr:y>0.5568</cdr:y>
    </cdr:to>
    <cdr:sp macro="" textlink="">
      <cdr:nvSpPr>
        <cdr:cNvPr id="21" name="TextBox 20"/>
        <cdr:cNvSpPr txBox="1"/>
      </cdr:nvSpPr>
      <cdr:spPr>
        <a:xfrm xmlns:a="http://schemas.openxmlformats.org/drawingml/2006/main">
          <a:off x="1122566" y="1274618"/>
          <a:ext cx="820068" cy="790668"/>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 c</a:t>
          </a:r>
        </a:p>
      </cdr:txBody>
    </cdr:sp>
  </cdr:relSizeAnchor>
  <cdr:relSizeAnchor xmlns:cdr="http://schemas.openxmlformats.org/drawingml/2006/chartDrawing">
    <cdr:from>
      <cdr:x>0.2032</cdr:x>
      <cdr:y>0.38547</cdr:y>
    </cdr:from>
    <cdr:to>
      <cdr:x>0.3311</cdr:x>
      <cdr:y>0.58724</cdr:y>
    </cdr:to>
    <cdr:sp macro="" textlink="">
      <cdr:nvSpPr>
        <cdr:cNvPr id="22" name="TextBox 21"/>
        <cdr:cNvSpPr txBox="1"/>
      </cdr:nvSpPr>
      <cdr:spPr>
        <a:xfrm xmlns:a="http://schemas.openxmlformats.org/drawingml/2006/main">
          <a:off x="1283277" y="1429790"/>
          <a:ext cx="807702" cy="748406"/>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latin typeface="+mn-lt"/>
              <a:ea typeface="+mn-ea"/>
              <a:cs typeface="+mn-cs"/>
            </a:rPr>
            <a:t>c</a:t>
          </a:r>
          <a:endParaRPr lang="en-US" sz="1100"/>
        </a:p>
      </cdr:txBody>
    </cdr:sp>
  </cdr:relSizeAnchor>
  <cdr:relSizeAnchor xmlns:cdr="http://schemas.openxmlformats.org/drawingml/2006/chartDrawing">
    <cdr:from>
      <cdr:x>0.31879</cdr:x>
      <cdr:y>0.33122</cdr:y>
    </cdr:from>
    <cdr:to>
      <cdr:x>0.44072</cdr:x>
      <cdr:y>0.51742</cdr:y>
    </cdr:to>
    <cdr:sp macro="" textlink="">
      <cdr:nvSpPr>
        <cdr:cNvPr id="23" name="TextBox 22"/>
        <cdr:cNvSpPr txBox="1"/>
      </cdr:nvSpPr>
      <cdr:spPr>
        <a:xfrm xmlns:a="http://schemas.openxmlformats.org/drawingml/2006/main">
          <a:off x="2714625" y="1762125"/>
          <a:ext cx="1038225" cy="9906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latin typeface="+mn-lt"/>
              <a:ea typeface="+mn-ea"/>
              <a:cs typeface="+mn-cs"/>
            </a:rPr>
            <a:t>c</a:t>
          </a:r>
          <a:endParaRPr lang="en-US" sz="1100"/>
        </a:p>
      </cdr:txBody>
    </cdr:sp>
  </cdr:relSizeAnchor>
  <cdr:relSizeAnchor xmlns:cdr="http://schemas.openxmlformats.org/drawingml/2006/chartDrawing">
    <cdr:from>
      <cdr:x>0.47204</cdr:x>
      <cdr:y>0.28825</cdr:y>
    </cdr:from>
    <cdr:to>
      <cdr:x>0.59284</cdr:x>
      <cdr:y>0.47624</cdr:y>
    </cdr:to>
    <cdr:sp macro="" textlink="">
      <cdr:nvSpPr>
        <cdr:cNvPr id="24" name="TextBox 23"/>
        <cdr:cNvSpPr txBox="1"/>
      </cdr:nvSpPr>
      <cdr:spPr>
        <a:xfrm xmlns:a="http://schemas.openxmlformats.org/drawingml/2006/main">
          <a:off x="4019550" y="1533525"/>
          <a:ext cx="1028700" cy="1000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latin typeface="+mn-lt"/>
              <a:ea typeface="+mn-ea"/>
              <a:cs typeface="+mn-cs"/>
            </a:rPr>
            <a:t>c</a:t>
          </a:r>
          <a:endParaRPr lang="en-US" sz="1100"/>
        </a:p>
      </cdr:txBody>
    </cdr:sp>
  </cdr:relSizeAnchor>
  <cdr:relSizeAnchor xmlns:cdr="http://schemas.openxmlformats.org/drawingml/2006/chartDrawing">
    <cdr:from>
      <cdr:x>0.40152</cdr:x>
      <cdr:y>0.24652</cdr:y>
    </cdr:from>
    <cdr:to>
      <cdr:x>0.53132</cdr:x>
      <cdr:y>0.4458</cdr:y>
    </cdr:to>
    <cdr:sp macro="" textlink="">
      <cdr:nvSpPr>
        <cdr:cNvPr id="25" name="TextBox 24"/>
        <cdr:cNvSpPr txBox="1"/>
      </cdr:nvSpPr>
      <cdr:spPr>
        <a:xfrm xmlns:a="http://schemas.openxmlformats.org/drawingml/2006/main">
          <a:off x="2535729" y="914400"/>
          <a:ext cx="819690" cy="73916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cd</a:t>
          </a:r>
        </a:p>
      </cdr:txBody>
    </cdr:sp>
  </cdr:relSizeAnchor>
  <cdr:relSizeAnchor xmlns:cdr="http://schemas.openxmlformats.org/drawingml/2006/chartDrawing">
    <cdr:from>
      <cdr:x>0.4454</cdr:x>
      <cdr:y>0.127</cdr:y>
    </cdr:from>
    <cdr:to>
      <cdr:x>0.57383</cdr:x>
      <cdr:y>0.33301</cdr:y>
    </cdr:to>
    <cdr:sp macro="" textlink="">
      <cdr:nvSpPr>
        <cdr:cNvPr id="26" name="TextBox 25"/>
        <cdr:cNvSpPr txBox="1"/>
      </cdr:nvSpPr>
      <cdr:spPr>
        <a:xfrm xmlns:a="http://schemas.openxmlformats.org/drawingml/2006/main">
          <a:off x="2812820" y="471055"/>
          <a:ext cx="811060" cy="764148"/>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4953A-6C17-405F-8BDF-9EDFD8945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1</Pages>
  <Words>2939</Words>
  <Characters>16756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2014-07-16T01:10:00Z</dcterms:created>
  <dcterms:modified xsi:type="dcterms:W3CDTF">2018-05-08T21:11:00Z</dcterms:modified>
</cp:coreProperties>
</file>