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0F" w:rsidRDefault="0033230F" w:rsidP="00332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Determining house prices in low income neighbourhoods of north-central </w:t>
      </w:r>
      <w:proofErr w:type="spellStart"/>
      <w:proofErr w:type="gramStart"/>
      <w:r>
        <w:rPr>
          <w:rFonts w:ascii="Times New Roman" w:hAnsi="Times New Roman" w:cs="Times New Roman"/>
          <w:b/>
          <w:sz w:val="24"/>
          <w:szCs w:val="24"/>
        </w:rPr>
        <w:t>nigeria</w:t>
      </w:r>
      <w:proofErr w:type="spellEnd"/>
      <w:proofErr w:type="gramEnd"/>
      <w:r>
        <w:rPr>
          <w:rFonts w:ascii="Times New Roman" w:hAnsi="Times New Roman" w:cs="Times New Roman"/>
          <w:b/>
          <w:sz w:val="24"/>
          <w:szCs w:val="24"/>
        </w:rPr>
        <w:t xml:space="preserve">: a categorical modelling approach. </w:t>
      </w:r>
    </w:p>
    <w:p w:rsidR="0033230F" w:rsidRDefault="0033230F" w:rsidP="00332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33230F" w:rsidRPr="001F5D27" w:rsidRDefault="0033230F" w:rsidP="0033230F">
      <w:pPr>
        <w:spacing w:line="360" w:lineRule="auto"/>
        <w:jc w:val="center"/>
        <w:rPr>
          <w:rFonts w:ascii="Times New Roman" w:hAnsi="Times New Roman" w:cs="Times New Roman"/>
          <w:sz w:val="24"/>
          <w:szCs w:val="24"/>
          <w:vertAlign w:val="superscript"/>
        </w:rPr>
      </w:pPr>
      <w:proofErr w:type="spellStart"/>
      <w:r w:rsidRPr="00CB0608">
        <w:rPr>
          <w:rFonts w:ascii="Times New Roman" w:hAnsi="Times New Roman" w:cs="Times New Roman"/>
          <w:sz w:val="24"/>
          <w:szCs w:val="24"/>
        </w:rPr>
        <w:t>Ogunbajo</w:t>
      </w:r>
      <w:proofErr w:type="spellEnd"/>
      <w:r w:rsidRPr="00CB0608">
        <w:rPr>
          <w:rFonts w:ascii="Times New Roman" w:hAnsi="Times New Roman" w:cs="Times New Roman"/>
          <w:sz w:val="24"/>
          <w:szCs w:val="24"/>
        </w:rPr>
        <w:t>, R. A</w:t>
      </w:r>
      <w:r w:rsidRPr="00CB060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Olabisi</w:t>
      </w:r>
      <w:proofErr w:type="spellEnd"/>
      <w:r>
        <w:rPr>
          <w:rFonts w:ascii="Times New Roman" w:hAnsi="Times New Roman" w:cs="Times New Roman"/>
          <w:sz w:val="24"/>
          <w:szCs w:val="24"/>
        </w:rPr>
        <w:t xml:space="preserve"> S.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R.I</w:t>
      </w:r>
      <w:r>
        <w:rPr>
          <w:rFonts w:ascii="Times New Roman" w:hAnsi="Times New Roman" w:cs="Times New Roman"/>
          <w:sz w:val="24"/>
          <w:szCs w:val="24"/>
          <w:vertAlign w:val="superscript"/>
        </w:rPr>
        <w:t>3</w:t>
      </w:r>
    </w:p>
    <w:p w:rsidR="0033230F" w:rsidRPr="003E6F54" w:rsidRDefault="0033230F" w:rsidP="0033230F">
      <w:pPr>
        <w:pStyle w:val="NoSpacing"/>
        <w:jc w:val="center"/>
        <w:rPr>
          <w:rFonts w:ascii="Times New Roman" w:hAnsi="Times New Roman" w:cs="Times New Roman"/>
          <w:sz w:val="20"/>
          <w:szCs w:val="20"/>
        </w:rPr>
      </w:pPr>
      <w:proofErr w:type="gramStart"/>
      <w:r w:rsidRPr="003E6F54">
        <w:rPr>
          <w:rFonts w:ascii="Times New Roman" w:hAnsi="Times New Roman" w:cs="Times New Roman"/>
          <w:sz w:val="20"/>
          <w:szCs w:val="20"/>
          <w:vertAlign w:val="superscript"/>
        </w:rPr>
        <w:t>1</w:t>
      </w:r>
      <w:r w:rsidRPr="003E6F54">
        <w:rPr>
          <w:rFonts w:ascii="Times New Roman" w:hAnsi="Times New Roman" w:cs="Times New Roman"/>
          <w:sz w:val="20"/>
          <w:szCs w:val="20"/>
        </w:rPr>
        <w:t xml:space="preserve">Department of Estate Management and Valuation, Federal University of Technology, </w:t>
      </w:r>
      <w:proofErr w:type="spellStart"/>
      <w:r w:rsidRPr="003E6F54">
        <w:rPr>
          <w:rFonts w:ascii="Times New Roman" w:hAnsi="Times New Roman" w:cs="Times New Roman"/>
          <w:sz w:val="20"/>
          <w:szCs w:val="20"/>
        </w:rPr>
        <w:t>Minna</w:t>
      </w:r>
      <w:proofErr w:type="spellEnd"/>
      <w:r w:rsidRPr="003E6F54">
        <w:rPr>
          <w:rFonts w:ascii="Times New Roman" w:hAnsi="Times New Roman" w:cs="Times New Roman"/>
          <w:sz w:val="20"/>
          <w:szCs w:val="20"/>
        </w:rPr>
        <w:t>.</w:t>
      </w:r>
      <w:proofErr w:type="gramEnd"/>
    </w:p>
    <w:p w:rsidR="0033230F" w:rsidRDefault="0033230F" w:rsidP="0033230F">
      <w:pPr>
        <w:pStyle w:val="NoSpacing"/>
        <w:spacing w:line="360" w:lineRule="auto"/>
        <w:jc w:val="center"/>
        <w:rPr>
          <w:rFonts w:ascii="Times New Roman" w:hAnsi="Times New Roman" w:cs="Times New Roman"/>
          <w:sz w:val="20"/>
          <w:szCs w:val="20"/>
          <w:vertAlign w:val="superscript"/>
        </w:rPr>
      </w:pPr>
      <w:proofErr w:type="gramStart"/>
      <w:r w:rsidRPr="00CB0608">
        <w:rPr>
          <w:rFonts w:ascii="Times New Roman" w:hAnsi="Times New Roman" w:cs="Times New Roman"/>
          <w:sz w:val="20"/>
          <w:szCs w:val="20"/>
          <w:vertAlign w:val="superscript"/>
        </w:rPr>
        <w:t>2</w:t>
      </w:r>
      <w:r w:rsidRPr="00CB0608">
        <w:rPr>
          <w:rFonts w:ascii="Times New Roman" w:hAnsi="Times New Roman" w:cs="Times New Roman"/>
          <w:sz w:val="20"/>
          <w:szCs w:val="20"/>
        </w:rPr>
        <w:t xml:space="preserve">Department of Estate Management and Valuation, University of </w:t>
      </w:r>
      <w:r>
        <w:rPr>
          <w:rFonts w:ascii="Times New Roman" w:hAnsi="Times New Roman" w:cs="Times New Roman"/>
          <w:sz w:val="20"/>
          <w:szCs w:val="20"/>
        </w:rPr>
        <w:t>Ilorin</w:t>
      </w:r>
      <w:r w:rsidRPr="00CB0608">
        <w:rPr>
          <w:rFonts w:ascii="Times New Roman" w:hAnsi="Times New Roman" w:cs="Times New Roman"/>
          <w:sz w:val="20"/>
          <w:szCs w:val="20"/>
        </w:rPr>
        <w:t>.</w:t>
      </w:r>
      <w:proofErr w:type="gramEnd"/>
    </w:p>
    <w:p w:rsidR="0033230F" w:rsidRDefault="0033230F" w:rsidP="0033230F">
      <w:pPr>
        <w:pStyle w:val="NoSpacing"/>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3</w:t>
      </w:r>
      <w:r w:rsidRPr="00CB0608">
        <w:rPr>
          <w:rFonts w:ascii="Times New Roman" w:hAnsi="Times New Roman" w:cs="Times New Roman"/>
          <w:sz w:val="20"/>
          <w:szCs w:val="20"/>
        </w:rPr>
        <w:t xml:space="preserve">Department of Estate Management, </w:t>
      </w:r>
      <w:r>
        <w:rPr>
          <w:rFonts w:ascii="Times New Roman" w:hAnsi="Times New Roman" w:cs="Times New Roman"/>
          <w:sz w:val="20"/>
          <w:szCs w:val="20"/>
        </w:rPr>
        <w:t xml:space="preserve">Niger State Polytechnic, </w:t>
      </w:r>
      <w:proofErr w:type="spellStart"/>
      <w:r>
        <w:rPr>
          <w:rFonts w:ascii="Times New Roman" w:hAnsi="Times New Roman" w:cs="Times New Roman"/>
          <w:sz w:val="20"/>
          <w:szCs w:val="20"/>
        </w:rPr>
        <w:t>Zungeru</w:t>
      </w:r>
      <w:proofErr w:type="spellEnd"/>
      <w:r w:rsidRPr="00CB0608">
        <w:rPr>
          <w:rFonts w:ascii="Times New Roman" w:hAnsi="Times New Roman" w:cs="Times New Roman"/>
          <w:sz w:val="20"/>
          <w:szCs w:val="20"/>
        </w:rPr>
        <w:t>.</w:t>
      </w:r>
      <w:proofErr w:type="gramEnd"/>
    </w:p>
    <w:p w:rsidR="0033230F" w:rsidRDefault="0033230F" w:rsidP="0033230F"/>
    <w:p w:rsidR="0033230F" w:rsidRDefault="0033230F" w:rsidP="0033230F">
      <w:pPr>
        <w:rPr>
          <w:rFonts w:ascii="Times New Roman" w:hAnsi="Times New Roman" w:cs="Times New Roman"/>
          <w:b/>
          <w:sz w:val="24"/>
          <w:szCs w:val="24"/>
        </w:rPr>
      </w:pPr>
      <w:r w:rsidRPr="003E6F54">
        <w:rPr>
          <w:rFonts w:ascii="Times New Roman" w:hAnsi="Times New Roman" w:cs="Times New Roman"/>
          <w:b/>
          <w:sz w:val="24"/>
          <w:szCs w:val="24"/>
        </w:rPr>
        <w:t>ABSTRACT</w:t>
      </w:r>
    </w:p>
    <w:p w:rsidR="0033230F" w:rsidRDefault="0033230F" w:rsidP="0033230F">
      <w:pPr>
        <w:ind w:right="95"/>
        <w:jc w:val="both"/>
        <w:rPr>
          <w:rFonts w:ascii="Times New Roman" w:hAnsi="Times New Roman" w:cs="Times New Roman"/>
          <w:sz w:val="24"/>
          <w:szCs w:val="24"/>
        </w:rPr>
      </w:pPr>
      <w:r>
        <w:rPr>
          <w:rFonts w:ascii="Times New Roman" w:hAnsi="Times New Roman" w:cs="Times New Roman"/>
          <w:sz w:val="24"/>
          <w:szCs w:val="24"/>
        </w:rPr>
        <w:t>Research</w:t>
      </w:r>
      <w:r w:rsidRPr="00AA7D84">
        <w:rPr>
          <w:rFonts w:ascii="Times New Roman" w:hAnsi="Times New Roman" w:cs="Times New Roman"/>
          <w:sz w:val="24"/>
          <w:szCs w:val="24"/>
        </w:rPr>
        <w:t xml:space="preserve"> shows that the most widely used estimates of </w:t>
      </w:r>
      <w:r>
        <w:rPr>
          <w:rFonts w:ascii="Times New Roman" w:hAnsi="Times New Roman" w:cs="Times New Roman"/>
          <w:sz w:val="24"/>
          <w:szCs w:val="24"/>
        </w:rPr>
        <w:t xml:space="preserve">the impacts of housing attributes on house prices </w:t>
      </w:r>
      <w:r w:rsidRPr="00AA7D84">
        <w:rPr>
          <w:rFonts w:ascii="Times New Roman" w:hAnsi="Times New Roman" w:cs="Times New Roman"/>
          <w:sz w:val="24"/>
          <w:szCs w:val="24"/>
        </w:rPr>
        <w:t>are derived from hedonic models</w:t>
      </w:r>
      <w:r>
        <w:rPr>
          <w:rFonts w:ascii="Times New Roman" w:hAnsi="Times New Roman" w:cs="Times New Roman"/>
          <w:sz w:val="24"/>
          <w:szCs w:val="24"/>
        </w:rPr>
        <w:t xml:space="preserve">. </w:t>
      </w:r>
      <w:r w:rsidRPr="00AA7D84">
        <w:rPr>
          <w:rFonts w:ascii="Times New Roman" w:hAnsi="Times New Roman" w:cs="Times New Roman"/>
          <w:sz w:val="24"/>
          <w:szCs w:val="24"/>
        </w:rPr>
        <w:t>The hedonic model assumes that the prices of dwelling units is composed of a number of factors, thus using a regression analysis, the impacts of each of these factors</w:t>
      </w:r>
      <w:r>
        <w:rPr>
          <w:rFonts w:ascii="Times New Roman" w:hAnsi="Times New Roman" w:cs="Times New Roman"/>
          <w:sz w:val="24"/>
          <w:szCs w:val="24"/>
        </w:rPr>
        <w:t xml:space="preserve"> often measured on numeric scales </w:t>
      </w:r>
      <w:r w:rsidRPr="00AA7D84">
        <w:rPr>
          <w:rFonts w:ascii="Times New Roman" w:hAnsi="Times New Roman" w:cs="Times New Roman"/>
          <w:sz w:val="24"/>
          <w:szCs w:val="24"/>
        </w:rPr>
        <w:t xml:space="preserve"> can be estimated.</w:t>
      </w:r>
      <w:r>
        <w:rPr>
          <w:rFonts w:ascii="Times New Roman" w:hAnsi="Times New Roman" w:cs="Times New Roman"/>
          <w:sz w:val="24"/>
          <w:szCs w:val="24"/>
        </w:rPr>
        <w:t xml:space="preserve"> </w:t>
      </w:r>
      <w:r w:rsidRPr="00AA7D84">
        <w:rPr>
          <w:rFonts w:ascii="Times New Roman" w:hAnsi="Times New Roman" w:cs="Times New Roman"/>
          <w:sz w:val="24"/>
          <w:szCs w:val="24"/>
        </w:rPr>
        <w:t xml:space="preserve"> </w:t>
      </w:r>
      <w:r>
        <w:rPr>
          <w:rFonts w:ascii="Times New Roman" w:hAnsi="Times New Roman" w:cs="Times New Roman"/>
          <w:sz w:val="24"/>
          <w:szCs w:val="24"/>
        </w:rPr>
        <w:t>However, researchers from</w:t>
      </w:r>
      <w:r w:rsidRPr="00AA7D84">
        <w:rPr>
          <w:rFonts w:ascii="Times New Roman" w:hAnsi="Times New Roman" w:cs="Times New Roman"/>
          <w:sz w:val="24"/>
          <w:szCs w:val="24"/>
        </w:rPr>
        <w:t xml:space="preserve"> social and behavioural sciences</w:t>
      </w:r>
      <w:r>
        <w:rPr>
          <w:rFonts w:ascii="Times New Roman" w:hAnsi="Times New Roman" w:cs="Times New Roman"/>
          <w:sz w:val="24"/>
          <w:szCs w:val="24"/>
        </w:rPr>
        <w:t xml:space="preserve"> in developing countries have recently begun to look in the direction of the quality of the influencing housing attributes on house prices. These attributes are best measured qualitatively on ordinal and/or nominal scales. </w:t>
      </w:r>
      <w:r w:rsidRPr="00AA7D84">
        <w:rPr>
          <w:rFonts w:ascii="Times New Roman" w:hAnsi="Times New Roman" w:cs="Times New Roman"/>
          <w:sz w:val="24"/>
          <w:szCs w:val="24"/>
        </w:rPr>
        <w:t xml:space="preserve">As such, an important development in multidimensional data analysis is the optimal assignment of quantitative values to qualitative scales. </w:t>
      </w:r>
      <w:r w:rsidRPr="00035206">
        <w:rPr>
          <w:rFonts w:ascii="Times New Roman" w:hAnsi="Times New Roman" w:cs="Times New Roman"/>
          <w:sz w:val="24"/>
          <w:szCs w:val="24"/>
        </w:rPr>
        <w:t>This form of optimal quantification (scaling, scoring) is a general approach to treat multivariate categorical data (</w:t>
      </w:r>
      <w:proofErr w:type="spellStart"/>
      <w:r w:rsidRPr="00035206">
        <w:rPr>
          <w:rFonts w:ascii="Times New Roman" w:hAnsi="Times New Roman" w:cs="Times New Roman"/>
          <w:sz w:val="24"/>
          <w:szCs w:val="24"/>
        </w:rPr>
        <w:t>Srijan</w:t>
      </w:r>
      <w:proofErr w:type="spellEnd"/>
      <w:r w:rsidRPr="00035206">
        <w:rPr>
          <w:rFonts w:ascii="Times New Roman" w:hAnsi="Times New Roman" w:cs="Times New Roman"/>
          <w:sz w:val="24"/>
          <w:szCs w:val="24"/>
        </w:rPr>
        <w:t>, 2009).</w:t>
      </w:r>
      <w:r w:rsidRPr="00AA7D84">
        <w:rPr>
          <w:rFonts w:ascii="Times New Roman" w:hAnsi="Times New Roman" w:cs="Times New Roman"/>
          <w:sz w:val="24"/>
          <w:szCs w:val="24"/>
        </w:rPr>
        <w:t xml:space="preserve"> </w:t>
      </w:r>
      <w:r w:rsidRPr="007A45BB">
        <w:rPr>
          <w:rFonts w:ascii="Times New Roman" w:hAnsi="Times New Roman" w:cs="Times New Roman"/>
          <w:sz w:val="24"/>
          <w:szCs w:val="24"/>
        </w:rPr>
        <w:t xml:space="preserve">This study </w:t>
      </w:r>
      <w:r>
        <w:rPr>
          <w:rFonts w:ascii="Times New Roman" w:hAnsi="Times New Roman" w:cs="Times New Roman"/>
          <w:sz w:val="24"/>
          <w:szCs w:val="24"/>
        </w:rPr>
        <w:t xml:space="preserve">utilised the categorical modelling approach to determine </w:t>
      </w:r>
      <w:r w:rsidRPr="007A45BB">
        <w:rPr>
          <w:rFonts w:ascii="Times New Roman" w:hAnsi="Times New Roman" w:cs="Times New Roman"/>
          <w:sz w:val="24"/>
          <w:szCs w:val="24"/>
        </w:rPr>
        <w:t xml:space="preserve">the contributory effect of </w:t>
      </w:r>
      <w:r>
        <w:rPr>
          <w:rFonts w:ascii="Times New Roman" w:hAnsi="Times New Roman" w:cs="Times New Roman"/>
          <w:sz w:val="24"/>
          <w:szCs w:val="24"/>
        </w:rPr>
        <w:t xml:space="preserve">housing attributes </w:t>
      </w:r>
      <w:r w:rsidRPr="007A45BB">
        <w:rPr>
          <w:rFonts w:ascii="Times New Roman" w:hAnsi="Times New Roman" w:cs="Times New Roman"/>
          <w:sz w:val="24"/>
          <w:szCs w:val="24"/>
        </w:rPr>
        <w:t>on</w:t>
      </w:r>
      <w:r>
        <w:rPr>
          <w:rFonts w:ascii="Times New Roman" w:hAnsi="Times New Roman" w:cs="Times New Roman"/>
          <w:sz w:val="24"/>
          <w:szCs w:val="24"/>
        </w:rPr>
        <w:t xml:space="preserve"> rental house prices in North-Central Nigeria.  The categorical regression model </w:t>
      </w:r>
      <w:r w:rsidRPr="00AA7D84">
        <w:rPr>
          <w:rFonts w:ascii="Times New Roman" w:hAnsi="Times New Roman" w:cs="Times New Roman"/>
          <w:sz w:val="24"/>
          <w:szCs w:val="24"/>
        </w:rPr>
        <w:t xml:space="preserve">uses the optimal scaling methodology as developed in the </w:t>
      </w:r>
      <w:proofErr w:type="spellStart"/>
      <w:r w:rsidRPr="00AA7D84">
        <w:rPr>
          <w:rFonts w:ascii="Times New Roman" w:hAnsi="Times New Roman" w:cs="Times New Roman"/>
          <w:sz w:val="24"/>
          <w:szCs w:val="24"/>
        </w:rPr>
        <w:t>Giﬁ</w:t>
      </w:r>
      <w:proofErr w:type="spellEnd"/>
      <w:r w:rsidRPr="00AA7D84">
        <w:rPr>
          <w:rFonts w:ascii="Times New Roman" w:hAnsi="Times New Roman" w:cs="Times New Roman"/>
          <w:sz w:val="24"/>
          <w:szCs w:val="24"/>
        </w:rPr>
        <w:t xml:space="preserve"> system to quantify categorical variables according to a particular scaling level, thus “transforming” categorical variables into numeric variables. </w:t>
      </w:r>
      <w:r>
        <w:rPr>
          <w:rFonts w:ascii="Times New Roman" w:eastAsia="Calibri" w:hAnsi="Times New Roman" w:cs="Times New Roman"/>
          <w:sz w:val="24"/>
          <w:szCs w:val="24"/>
        </w:rPr>
        <w:t xml:space="preserve">Having adopted </w:t>
      </w:r>
      <w:r w:rsidRPr="004734C1">
        <w:rPr>
          <w:rFonts w:ascii="Times New Roman" w:eastAsia="Times New Roman" w:hAnsi="Times New Roman" w:cs="Times New Roman"/>
          <w:i/>
          <w:sz w:val="24"/>
          <w:szCs w:val="24"/>
          <w:u w:val="single"/>
          <w:lang w:val="en-US"/>
        </w:rPr>
        <w:t>+</w:t>
      </w:r>
      <w:r w:rsidRPr="004734C1">
        <w:rPr>
          <w:rFonts w:ascii="Times New Roman" w:eastAsia="Times New Roman" w:hAnsi="Times New Roman" w:cs="Times New Roman"/>
          <w:sz w:val="24"/>
          <w:szCs w:val="24"/>
          <w:lang w:val="en-US"/>
        </w:rPr>
        <w:t xml:space="preserve"> 10% precision </w:t>
      </w:r>
      <w:r>
        <w:rPr>
          <w:rFonts w:ascii="Times New Roman" w:eastAsia="Times New Roman" w:hAnsi="Times New Roman" w:cs="Times New Roman"/>
          <w:sz w:val="24"/>
          <w:szCs w:val="24"/>
          <w:lang w:val="en-US"/>
        </w:rPr>
        <w:t xml:space="preserve">and </w:t>
      </w:r>
      <w:r w:rsidRPr="004734C1">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0</w:t>
      </w:r>
      <w:r w:rsidRPr="004734C1">
        <w:rPr>
          <w:rFonts w:ascii="Times New Roman" w:eastAsia="Times New Roman" w:hAnsi="Times New Roman" w:cs="Times New Roman"/>
          <w:sz w:val="24"/>
          <w:szCs w:val="24"/>
          <w:lang w:val="en-US"/>
        </w:rPr>
        <w:t>% confidence level</w:t>
      </w:r>
      <w:r>
        <w:rPr>
          <w:rFonts w:ascii="Times New Roman" w:eastAsia="Times New Roman" w:hAnsi="Times New Roman" w:cs="Times New Roman"/>
          <w:sz w:val="24"/>
          <w:szCs w:val="24"/>
          <w:lang w:val="en-US"/>
        </w:rPr>
        <w:t>, a</w:t>
      </w:r>
      <w:r w:rsidRPr="004734C1">
        <w:rPr>
          <w:rFonts w:ascii="Times New Roman" w:eastAsia="Calibri" w:hAnsi="Times New Roman" w:cs="Times New Roman"/>
          <w:sz w:val="24"/>
          <w:szCs w:val="24"/>
        </w:rPr>
        <w:t xml:space="preserve"> total of 1,134 housing units were sampled</w:t>
      </w:r>
      <w:r>
        <w:rPr>
          <w:rFonts w:ascii="Times New Roman" w:eastAsia="Calibri" w:hAnsi="Times New Roman" w:cs="Times New Roman"/>
          <w:sz w:val="24"/>
          <w:szCs w:val="24"/>
        </w:rPr>
        <w:t xml:space="preserve"> by stratified and random selection. </w:t>
      </w:r>
      <w:r w:rsidRPr="004734C1">
        <w:rPr>
          <w:rFonts w:ascii="Times New Roman" w:eastAsia="Calibri" w:hAnsi="Times New Roman" w:cs="Times New Roman"/>
          <w:sz w:val="24"/>
          <w:szCs w:val="24"/>
        </w:rPr>
        <w:t xml:space="preserve">The data used were generated through </w:t>
      </w:r>
      <w:r w:rsidRPr="004734C1">
        <w:rPr>
          <w:rFonts w:ascii="Times New Roman" w:eastAsia="Calibri" w:hAnsi="Times New Roman" w:cs="Times New Roman"/>
          <w:sz w:val="24"/>
          <w:szCs w:val="24"/>
          <w:lang w:val="en-US"/>
        </w:rPr>
        <w:t>questionnaire</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rPr>
        <w:t xml:space="preserve">Nine housing attributes were found to </w:t>
      </w:r>
      <w:r w:rsidRPr="00664DBC">
        <w:rPr>
          <w:rFonts w:ascii="Times New Roman" w:hAnsi="Times New Roman" w:cs="Times New Roman"/>
          <w:sz w:val="24"/>
          <w:szCs w:val="24"/>
        </w:rPr>
        <w:t>sustain</w:t>
      </w:r>
      <w:r>
        <w:rPr>
          <w:rFonts w:ascii="Times New Roman" w:hAnsi="Times New Roman" w:cs="Times New Roman"/>
          <w:sz w:val="24"/>
          <w:szCs w:val="24"/>
        </w:rPr>
        <w:t xml:space="preserve"> res</w:t>
      </w:r>
      <w:r w:rsidRPr="00664DBC">
        <w:rPr>
          <w:rFonts w:ascii="Times New Roman" w:hAnsi="Times New Roman" w:cs="Times New Roman"/>
          <w:sz w:val="24"/>
          <w:szCs w:val="24"/>
        </w:rPr>
        <w:t>idential buildings in the study area</w:t>
      </w:r>
      <w:r>
        <w:rPr>
          <w:rFonts w:ascii="Times New Roman" w:hAnsi="Times New Roman" w:cs="Times New Roman"/>
          <w:sz w:val="24"/>
          <w:szCs w:val="24"/>
        </w:rPr>
        <w:t xml:space="preserve"> and these accounted for 45% and 61% variance in the rental prices of two major low income house types.  Results suggested that the identified housing attributes significantly predicted rental values for the low income house types. </w:t>
      </w:r>
      <w:r w:rsidRPr="00AA7D84">
        <w:rPr>
          <w:rFonts w:ascii="Times New Roman" w:hAnsi="Times New Roman" w:cs="Times New Roman"/>
          <w:sz w:val="24"/>
          <w:szCs w:val="24"/>
        </w:rPr>
        <w:t>The mean of predicted rental values were</w:t>
      </w:r>
      <w:r>
        <w:rPr>
          <w:rFonts w:ascii="Times New Roman" w:hAnsi="Times New Roman" w:cs="Times New Roman"/>
          <w:sz w:val="24"/>
          <w:szCs w:val="24"/>
        </w:rPr>
        <w:t xml:space="preserve"> further </w:t>
      </w:r>
      <w:r w:rsidRPr="00AA7D84">
        <w:rPr>
          <w:rFonts w:ascii="Times New Roman" w:hAnsi="Times New Roman" w:cs="Times New Roman"/>
          <w:sz w:val="24"/>
          <w:szCs w:val="24"/>
        </w:rPr>
        <w:t xml:space="preserve">computed for each house type and compared to the means of the actual rental values </w:t>
      </w:r>
      <w:r w:rsidRPr="00035206">
        <w:rPr>
          <w:rFonts w:ascii="Times New Roman" w:hAnsi="Times New Roman" w:cs="Times New Roman"/>
          <w:sz w:val="24"/>
          <w:szCs w:val="24"/>
        </w:rPr>
        <w:t>collated in the course of data collection</w:t>
      </w:r>
      <w:r>
        <w:rPr>
          <w:rFonts w:ascii="Times New Roman" w:hAnsi="Times New Roman" w:cs="Times New Roman"/>
          <w:sz w:val="24"/>
          <w:szCs w:val="24"/>
        </w:rPr>
        <w:t xml:space="preserve"> and presented with line graphs. Results </w:t>
      </w:r>
      <w:r w:rsidRPr="00AA7D84">
        <w:rPr>
          <w:rFonts w:ascii="Times New Roman" w:hAnsi="Times New Roman" w:cs="Times New Roman"/>
          <w:sz w:val="24"/>
          <w:szCs w:val="24"/>
        </w:rPr>
        <w:t>showed predicted values that are reasonably similar to the actual rental values of the dwelling units. Th</w:t>
      </w:r>
      <w:r>
        <w:rPr>
          <w:rFonts w:ascii="Times New Roman" w:hAnsi="Times New Roman" w:cs="Times New Roman"/>
          <w:sz w:val="24"/>
          <w:szCs w:val="24"/>
        </w:rPr>
        <w:t>us</w:t>
      </w:r>
      <w:r w:rsidRPr="00AA7D84">
        <w:rPr>
          <w:rFonts w:ascii="Times New Roman" w:hAnsi="Times New Roman" w:cs="Times New Roman"/>
          <w:sz w:val="24"/>
          <w:szCs w:val="24"/>
        </w:rPr>
        <w:t xml:space="preserve"> suggest a </w:t>
      </w:r>
      <w:r>
        <w:rPr>
          <w:rFonts w:ascii="Times New Roman" w:hAnsi="Times New Roman" w:cs="Times New Roman"/>
          <w:sz w:val="24"/>
          <w:szCs w:val="24"/>
        </w:rPr>
        <w:t xml:space="preserve">reasonably </w:t>
      </w:r>
      <w:r w:rsidRPr="00AA7D84">
        <w:rPr>
          <w:rFonts w:ascii="Times New Roman" w:hAnsi="Times New Roman" w:cs="Times New Roman"/>
          <w:sz w:val="24"/>
          <w:szCs w:val="24"/>
        </w:rPr>
        <w:t>accurate prediction of rental</w:t>
      </w:r>
      <w:r>
        <w:rPr>
          <w:rFonts w:ascii="Times New Roman" w:hAnsi="Times New Roman" w:cs="Times New Roman"/>
          <w:sz w:val="24"/>
          <w:szCs w:val="24"/>
        </w:rPr>
        <w:t xml:space="preserve"> house prices using the categorical regression approach.</w:t>
      </w:r>
      <w:r w:rsidRPr="00AA7D84">
        <w:rPr>
          <w:rFonts w:ascii="Times New Roman" w:hAnsi="Times New Roman" w:cs="Times New Roman"/>
          <w:sz w:val="24"/>
          <w:szCs w:val="24"/>
        </w:rPr>
        <w:t xml:space="preserve"> </w:t>
      </w:r>
    </w:p>
    <w:p w:rsidR="0024026C" w:rsidRPr="00AA7D84" w:rsidRDefault="0024026C" w:rsidP="0033230F">
      <w:pPr>
        <w:ind w:right="95"/>
        <w:jc w:val="both"/>
        <w:rPr>
          <w:rFonts w:ascii="Times New Roman" w:hAnsi="Times New Roman" w:cs="Times New Roman"/>
          <w:sz w:val="24"/>
          <w:szCs w:val="24"/>
        </w:rPr>
      </w:pPr>
      <w:r>
        <w:rPr>
          <w:rFonts w:ascii="Times New Roman" w:hAnsi="Times New Roman" w:cs="Times New Roman"/>
          <w:sz w:val="24"/>
          <w:szCs w:val="24"/>
        </w:rPr>
        <w:t>Key words: Categorical modelling, House prices, Low income, N</w:t>
      </w:r>
      <w:bookmarkStart w:id="0" w:name="_GoBack"/>
      <w:bookmarkEnd w:id="0"/>
      <w:r>
        <w:rPr>
          <w:rFonts w:ascii="Times New Roman" w:hAnsi="Times New Roman" w:cs="Times New Roman"/>
          <w:sz w:val="24"/>
          <w:szCs w:val="24"/>
        </w:rPr>
        <w:t xml:space="preserve">eighbourhoods, </w:t>
      </w:r>
    </w:p>
    <w:p w:rsidR="0033230F" w:rsidRPr="00AA7D84" w:rsidRDefault="0033230F" w:rsidP="0033230F">
      <w:pPr>
        <w:jc w:val="both"/>
        <w:rPr>
          <w:rFonts w:ascii="Times New Roman" w:hAnsi="Times New Roman" w:cs="Times New Roman"/>
          <w:sz w:val="24"/>
          <w:szCs w:val="24"/>
        </w:rPr>
      </w:pPr>
    </w:p>
    <w:p w:rsidR="0033230F" w:rsidRDefault="0033230F" w:rsidP="0033230F">
      <w:pPr>
        <w:spacing w:line="480" w:lineRule="auto"/>
        <w:ind w:right="95"/>
        <w:jc w:val="both"/>
        <w:rPr>
          <w:rFonts w:ascii="Times New Roman" w:hAnsi="Times New Roman" w:cs="Times New Roman"/>
          <w:sz w:val="24"/>
          <w:szCs w:val="24"/>
        </w:rPr>
      </w:pPr>
    </w:p>
    <w:p w:rsidR="0033230F" w:rsidRDefault="0033230F" w:rsidP="0033230F">
      <w:pPr>
        <w:spacing w:line="480" w:lineRule="auto"/>
        <w:ind w:right="95"/>
        <w:jc w:val="both"/>
        <w:rPr>
          <w:rFonts w:ascii="Times New Roman" w:hAnsi="Times New Roman" w:cs="Times New Roman"/>
          <w:b/>
          <w:sz w:val="24"/>
          <w:szCs w:val="24"/>
        </w:rPr>
      </w:pPr>
      <w:r w:rsidRPr="0033230F">
        <w:rPr>
          <w:rFonts w:ascii="Times New Roman" w:hAnsi="Times New Roman" w:cs="Times New Roman"/>
          <w:b/>
          <w:sz w:val="24"/>
          <w:szCs w:val="24"/>
        </w:rPr>
        <w:t>Introduction</w:t>
      </w:r>
    </w:p>
    <w:p w:rsidR="002C7F04" w:rsidRPr="00AA7D84" w:rsidRDefault="002C7F04" w:rsidP="002C7F04">
      <w:pPr>
        <w:ind w:right="95"/>
        <w:jc w:val="both"/>
        <w:rPr>
          <w:rFonts w:ascii="Times New Roman" w:hAnsi="Times New Roman" w:cs="Times New Roman"/>
          <w:sz w:val="24"/>
          <w:szCs w:val="24"/>
        </w:rPr>
      </w:pPr>
      <w:r w:rsidRPr="00AA7D84">
        <w:rPr>
          <w:rFonts w:ascii="Times New Roman" w:hAnsi="Times New Roman" w:cs="Times New Roman"/>
          <w:sz w:val="24"/>
          <w:szCs w:val="24"/>
        </w:rPr>
        <w:t>Available literature shows that the most widely used estimates of the impacts of</w:t>
      </w:r>
      <w:r>
        <w:rPr>
          <w:rFonts w:ascii="Times New Roman" w:hAnsi="Times New Roman" w:cs="Times New Roman"/>
          <w:sz w:val="24"/>
          <w:szCs w:val="24"/>
        </w:rPr>
        <w:t xml:space="preserve"> </w:t>
      </w:r>
      <w:r w:rsidR="00820DC1">
        <w:rPr>
          <w:rFonts w:ascii="Times New Roman" w:hAnsi="Times New Roman" w:cs="Times New Roman"/>
          <w:sz w:val="24"/>
          <w:szCs w:val="24"/>
        </w:rPr>
        <w:t xml:space="preserve">a wide range of </w:t>
      </w:r>
      <w:r w:rsidR="007B4756">
        <w:rPr>
          <w:rFonts w:ascii="Times New Roman" w:hAnsi="Times New Roman" w:cs="Times New Roman"/>
          <w:sz w:val="24"/>
          <w:szCs w:val="24"/>
        </w:rPr>
        <w:t>housing attributes</w:t>
      </w:r>
      <w:r w:rsidR="00820DC1">
        <w:rPr>
          <w:rFonts w:ascii="Times New Roman" w:hAnsi="Times New Roman" w:cs="Times New Roman"/>
          <w:sz w:val="24"/>
          <w:szCs w:val="24"/>
        </w:rPr>
        <w:t xml:space="preserve"> on house prices </w:t>
      </w:r>
      <w:r w:rsidRPr="00AA7D84">
        <w:rPr>
          <w:rFonts w:ascii="Times New Roman" w:hAnsi="Times New Roman" w:cs="Times New Roman"/>
          <w:sz w:val="24"/>
          <w:szCs w:val="24"/>
        </w:rPr>
        <w:t>are derived from hedonic models (</w:t>
      </w:r>
      <w:proofErr w:type="spellStart"/>
      <w:r w:rsidRPr="00AA7D84">
        <w:rPr>
          <w:rFonts w:ascii="Times New Roman" w:hAnsi="Times New Roman" w:cs="Times New Roman"/>
          <w:sz w:val="24"/>
          <w:szCs w:val="24"/>
        </w:rPr>
        <w:t>Sirmans</w:t>
      </w:r>
      <w:proofErr w:type="spellEnd"/>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et al</w:t>
      </w:r>
      <w:r w:rsidRPr="00AA7D84">
        <w:rPr>
          <w:rFonts w:ascii="Times New Roman" w:hAnsi="Times New Roman" w:cs="Times New Roman"/>
          <w:sz w:val="24"/>
          <w:szCs w:val="24"/>
        </w:rPr>
        <w:t xml:space="preserve">, 2005; </w:t>
      </w:r>
      <w:proofErr w:type="spellStart"/>
      <w:r w:rsidRPr="00AA7D84">
        <w:rPr>
          <w:rFonts w:ascii="Times New Roman" w:hAnsi="Times New Roman" w:cs="Times New Roman"/>
          <w:sz w:val="24"/>
          <w:szCs w:val="24"/>
        </w:rPr>
        <w:t>Stetler</w:t>
      </w:r>
      <w:proofErr w:type="spellEnd"/>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et al</w:t>
      </w:r>
      <w:r w:rsidRPr="00AA7D84">
        <w:rPr>
          <w:rFonts w:ascii="Times New Roman" w:hAnsi="Times New Roman" w:cs="Times New Roman"/>
          <w:sz w:val="24"/>
          <w:szCs w:val="24"/>
        </w:rPr>
        <w:t xml:space="preserve"> 2010, </w:t>
      </w:r>
      <w:proofErr w:type="spellStart"/>
      <w:r w:rsidRPr="00AA7D84">
        <w:rPr>
          <w:rFonts w:ascii="Times New Roman" w:hAnsi="Times New Roman" w:cs="Times New Roman"/>
          <w:sz w:val="24"/>
          <w:szCs w:val="24"/>
        </w:rPr>
        <w:t>Hoen</w:t>
      </w:r>
      <w:proofErr w:type="spellEnd"/>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et al</w:t>
      </w:r>
      <w:r w:rsidRPr="00AA7D84">
        <w:rPr>
          <w:rFonts w:ascii="Times New Roman" w:hAnsi="Times New Roman" w:cs="Times New Roman"/>
          <w:sz w:val="24"/>
          <w:szCs w:val="24"/>
        </w:rPr>
        <w:t xml:space="preserve">, 2011; </w:t>
      </w:r>
      <w:proofErr w:type="spellStart"/>
      <w:r w:rsidRPr="00AA7D84">
        <w:rPr>
          <w:rFonts w:ascii="Times New Roman" w:hAnsi="Times New Roman" w:cs="Times New Roman"/>
          <w:sz w:val="24"/>
          <w:szCs w:val="24"/>
        </w:rPr>
        <w:t>Boucq</w:t>
      </w:r>
      <w:proofErr w:type="spellEnd"/>
      <w:r w:rsidRPr="00AA7D84">
        <w:rPr>
          <w:rFonts w:ascii="Times New Roman" w:hAnsi="Times New Roman" w:cs="Times New Roman"/>
          <w:sz w:val="24"/>
          <w:szCs w:val="24"/>
        </w:rPr>
        <w:t xml:space="preserve"> &amp; </w:t>
      </w:r>
      <w:proofErr w:type="spellStart"/>
      <w:r w:rsidRPr="00AA7D84">
        <w:rPr>
          <w:rFonts w:ascii="Times New Roman" w:hAnsi="Times New Roman" w:cs="Times New Roman"/>
          <w:sz w:val="24"/>
          <w:szCs w:val="24"/>
        </w:rPr>
        <w:t>Stratec</w:t>
      </w:r>
      <w:proofErr w:type="spellEnd"/>
      <w:r w:rsidRPr="00AA7D84">
        <w:rPr>
          <w:rFonts w:ascii="Times New Roman" w:hAnsi="Times New Roman" w:cs="Times New Roman"/>
          <w:sz w:val="24"/>
          <w:szCs w:val="24"/>
        </w:rPr>
        <w:t xml:space="preserve">, 2011;  </w:t>
      </w:r>
      <w:proofErr w:type="spellStart"/>
      <w:r w:rsidRPr="00AA7D84">
        <w:rPr>
          <w:rFonts w:ascii="Times New Roman" w:hAnsi="Times New Roman" w:cs="Times New Roman"/>
          <w:sz w:val="24"/>
          <w:szCs w:val="24"/>
        </w:rPr>
        <w:t>Ansah</w:t>
      </w:r>
      <w:proofErr w:type="spellEnd"/>
      <w:r w:rsidRPr="00AA7D84">
        <w:rPr>
          <w:rFonts w:ascii="Times New Roman" w:hAnsi="Times New Roman" w:cs="Times New Roman"/>
          <w:sz w:val="24"/>
          <w:szCs w:val="24"/>
        </w:rPr>
        <w:t xml:space="preserve">, 2012; and </w:t>
      </w:r>
      <w:proofErr w:type="spellStart"/>
      <w:r w:rsidRPr="00AA7D84">
        <w:rPr>
          <w:rFonts w:ascii="Times New Roman" w:hAnsi="Times New Roman" w:cs="Times New Roman"/>
          <w:sz w:val="24"/>
          <w:szCs w:val="24"/>
        </w:rPr>
        <w:t>Neelawala</w:t>
      </w:r>
      <w:proofErr w:type="spellEnd"/>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 xml:space="preserve">et al </w:t>
      </w:r>
      <w:r w:rsidRPr="00AA7D84">
        <w:rPr>
          <w:rFonts w:ascii="Times New Roman" w:hAnsi="Times New Roman" w:cs="Times New Roman"/>
          <w:sz w:val="24"/>
          <w:szCs w:val="24"/>
        </w:rPr>
        <w:t xml:space="preserve"> </w:t>
      </w:r>
      <w:proofErr w:type="spellStart"/>
      <w:r w:rsidRPr="00AA7D84">
        <w:rPr>
          <w:rFonts w:ascii="Times New Roman" w:hAnsi="Times New Roman" w:cs="Times New Roman"/>
          <w:sz w:val="24"/>
          <w:szCs w:val="24"/>
        </w:rPr>
        <w:t>nd</w:t>
      </w:r>
      <w:proofErr w:type="spellEnd"/>
      <w:r w:rsidRPr="00AA7D84">
        <w:rPr>
          <w:rFonts w:ascii="Times New Roman" w:hAnsi="Times New Roman" w:cs="Times New Roman"/>
          <w:sz w:val="24"/>
          <w:szCs w:val="24"/>
        </w:rPr>
        <w:t xml:space="preserve">). The hedonic model assumes that the prices of dwelling units is composed of a number of factors, thus using a regression analysis, the impacts of each of these factors can be estimated. </w:t>
      </w:r>
      <w:proofErr w:type="spellStart"/>
      <w:r w:rsidRPr="00AA7D84">
        <w:rPr>
          <w:rFonts w:ascii="Times New Roman" w:hAnsi="Times New Roman" w:cs="Times New Roman"/>
          <w:sz w:val="24"/>
          <w:szCs w:val="24"/>
        </w:rPr>
        <w:t>Wilhelmsson</w:t>
      </w:r>
      <w:proofErr w:type="spellEnd"/>
      <w:r w:rsidRPr="00AA7D84">
        <w:rPr>
          <w:rFonts w:ascii="Times New Roman" w:hAnsi="Times New Roman" w:cs="Times New Roman"/>
          <w:sz w:val="24"/>
          <w:szCs w:val="24"/>
        </w:rPr>
        <w:t xml:space="preserve"> (2009) described the hedonic model as a regression technique used to reveal the implicit prices of various attributes. It is based on the premise that the value of a good is determined by the utility that the various attributes of the particular product bears, thus when </w:t>
      </w:r>
      <w:r w:rsidR="007B4756">
        <w:rPr>
          <w:rFonts w:ascii="Times New Roman" w:hAnsi="Times New Roman" w:cs="Times New Roman"/>
          <w:sz w:val="24"/>
          <w:szCs w:val="24"/>
        </w:rPr>
        <w:t>house prices</w:t>
      </w:r>
      <w:r w:rsidRPr="00AA7D84">
        <w:rPr>
          <w:rFonts w:ascii="Times New Roman" w:hAnsi="Times New Roman" w:cs="Times New Roman"/>
          <w:sz w:val="24"/>
          <w:szCs w:val="24"/>
        </w:rPr>
        <w:t xml:space="preserve"> are regressed on the various housing attributes, the empirical magnitudes of the coefficients of the various attributes constitute the hedonic prices of the various characteristics (</w:t>
      </w:r>
      <w:proofErr w:type="spellStart"/>
      <w:r w:rsidRPr="00AA7D84">
        <w:rPr>
          <w:rFonts w:ascii="Times New Roman" w:hAnsi="Times New Roman" w:cs="Times New Roman"/>
          <w:sz w:val="24"/>
          <w:szCs w:val="24"/>
        </w:rPr>
        <w:t>Wilhelmsson</w:t>
      </w:r>
      <w:proofErr w:type="spellEnd"/>
      <w:r w:rsidRPr="00AA7D84">
        <w:rPr>
          <w:rFonts w:ascii="Times New Roman" w:hAnsi="Times New Roman" w:cs="Times New Roman"/>
          <w:sz w:val="24"/>
          <w:szCs w:val="24"/>
        </w:rPr>
        <w:t>, 2009). Specifically, a hedonic equation helps to explain house price in terms of its own characteristics such as size of the flat, age, floor, neighbourhood characteristics, and job accessibility.</w:t>
      </w:r>
    </w:p>
    <w:p w:rsidR="002C7F04" w:rsidRPr="00AA7D84" w:rsidRDefault="002C7F04" w:rsidP="002C7F04">
      <w:pPr>
        <w:ind w:right="95"/>
        <w:jc w:val="both"/>
        <w:rPr>
          <w:rFonts w:ascii="Times New Roman" w:hAnsi="Times New Roman" w:cs="Times New Roman"/>
          <w:sz w:val="24"/>
          <w:szCs w:val="24"/>
        </w:rPr>
      </w:pPr>
      <w:r w:rsidRPr="00AA7D84">
        <w:rPr>
          <w:rFonts w:ascii="Times New Roman" w:hAnsi="Times New Roman" w:cs="Times New Roman"/>
          <w:sz w:val="24"/>
          <w:szCs w:val="24"/>
        </w:rPr>
        <w:t>However, due to a variety of reasons, this research like quite a number of other researches on social and behavioural sciences have some of the</w:t>
      </w:r>
      <w:r w:rsidR="007B4756">
        <w:rPr>
          <w:rFonts w:ascii="Times New Roman" w:hAnsi="Times New Roman" w:cs="Times New Roman"/>
          <w:sz w:val="24"/>
          <w:szCs w:val="24"/>
        </w:rPr>
        <w:t xml:space="preserve"> housing attributes/</w:t>
      </w:r>
      <w:r w:rsidRPr="00AA7D84">
        <w:rPr>
          <w:rFonts w:ascii="Times New Roman" w:hAnsi="Times New Roman" w:cs="Times New Roman"/>
          <w:sz w:val="24"/>
          <w:szCs w:val="24"/>
        </w:rPr>
        <w:t xml:space="preserve"> independent variables measured in nominal and ordinal scales. </w:t>
      </w:r>
      <w:proofErr w:type="spellStart"/>
      <w:r w:rsidRPr="00AA7D84">
        <w:rPr>
          <w:rFonts w:ascii="Times New Roman" w:hAnsi="Times New Roman" w:cs="Times New Roman"/>
          <w:sz w:val="24"/>
          <w:szCs w:val="24"/>
        </w:rPr>
        <w:t>Srijan</w:t>
      </w:r>
      <w:proofErr w:type="spellEnd"/>
      <w:r w:rsidRPr="00AA7D84">
        <w:rPr>
          <w:rFonts w:ascii="Times New Roman" w:hAnsi="Times New Roman" w:cs="Times New Roman"/>
          <w:sz w:val="24"/>
          <w:szCs w:val="24"/>
        </w:rPr>
        <w:t xml:space="preserve"> (2009) observed that the zero point of the scales used to measure the values in such cases is uncertain, the relationships among the different categories is often unknown, and although frequently it can be assumed that the categories are ordered, their mutual distances might still be unknown. </w:t>
      </w:r>
      <w:proofErr w:type="spellStart"/>
      <w:r w:rsidRPr="00AA7D84">
        <w:rPr>
          <w:rFonts w:ascii="Times New Roman" w:hAnsi="Times New Roman" w:cs="Times New Roman"/>
          <w:sz w:val="24"/>
          <w:szCs w:val="24"/>
        </w:rPr>
        <w:t>Srijan</w:t>
      </w:r>
      <w:proofErr w:type="spellEnd"/>
      <w:r w:rsidRPr="00AA7D84">
        <w:rPr>
          <w:rFonts w:ascii="Times New Roman" w:hAnsi="Times New Roman" w:cs="Times New Roman"/>
          <w:sz w:val="24"/>
          <w:szCs w:val="24"/>
        </w:rPr>
        <w:t xml:space="preserve"> (2009) further explained that the uncertainty in the unit of measurement is not just a matter of measurement error,</w:t>
      </w:r>
      <w:r w:rsidRPr="00AA7D84">
        <w:t xml:space="preserve"> </w:t>
      </w:r>
      <w:r w:rsidRPr="00AA7D84">
        <w:rPr>
          <w:rFonts w:ascii="Times New Roman" w:hAnsi="Times New Roman" w:cs="Times New Roman"/>
          <w:sz w:val="24"/>
          <w:szCs w:val="24"/>
        </w:rPr>
        <w:t>because its variability may have a systematic component. As such, an important development in multidimensional data analysis is the optimal assignment of quantitative values to such qualitative scales. This form of optimal quantification (scaling, scoring) is a general approach to treat multivariate categorical data (</w:t>
      </w:r>
      <w:proofErr w:type="spellStart"/>
      <w:r w:rsidRPr="00AA7D84">
        <w:rPr>
          <w:rFonts w:ascii="Times New Roman" w:hAnsi="Times New Roman" w:cs="Times New Roman"/>
          <w:sz w:val="24"/>
          <w:szCs w:val="24"/>
        </w:rPr>
        <w:t>Srijan</w:t>
      </w:r>
      <w:proofErr w:type="spellEnd"/>
      <w:r w:rsidRPr="00AA7D84">
        <w:rPr>
          <w:rFonts w:ascii="Times New Roman" w:hAnsi="Times New Roman" w:cs="Times New Roman"/>
          <w:sz w:val="24"/>
          <w:szCs w:val="24"/>
        </w:rPr>
        <w:t xml:space="preserve">, 2009). </w:t>
      </w:r>
    </w:p>
    <w:p w:rsidR="002C7F04" w:rsidRPr="00AA7D84" w:rsidRDefault="002C7F04" w:rsidP="002C7F04">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CATREG was developed as a method for regression when the data consist of ordered or unordered categorical variables (Van der </w:t>
      </w:r>
      <w:proofErr w:type="spellStart"/>
      <w:r w:rsidRPr="00AA7D84">
        <w:rPr>
          <w:rFonts w:ascii="Times New Roman" w:hAnsi="Times New Roman" w:cs="Times New Roman"/>
          <w:sz w:val="24"/>
          <w:szCs w:val="24"/>
        </w:rPr>
        <w:t>Kooij</w:t>
      </w:r>
      <w:proofErr w:type="spellEnd"/>
      <w:r w:rsidRPr="00AA7D84">
        <w:rPr>
          <w:rFonts w:ascii="Times New Roman" w:hAnsi="Times New Roman" w:cs="Times New Roman"/>
          <w:sz w:val="24"/>
          <w:szCs w:val="24"/>
        </w:rPr>
        <w:t xml:space="preserve"> and </w:t>
      </w:r>
      <w:proofErr w:type="spellStart"/>
      <w:r w:rsidRPr="00AA7D84">
        <w:rPr>
          <w:rFonts w:ascii="Times New Roman" w:hAnsi="Times New Roman" w:cs="Times New Roman"/>
          <w:sz w:val="24"/>
          <w:szCs w:val="24"/>
        </w:rPr>
        <w:t>Meulman</w:t>
      </w:r>
      <w:proofErr w:type="spellEnd"/>
      <w:r w:rsidRPr="00AA7D84">
        <w:rPr>
          <w:rFonts w:ascii="Times New Roman" w:hAnsi="Times New Roman" w:cs="Times New Roman"/>
          <w:sz w:val="24"/>
          <w:szCs w:val="24"/>
        </w:rPr>
        <w:t xml:space="preserve">, 2006). It uses the optimal scaling methodology as developed in the </w:t>
      </w:r>
      <w:proofErr w:type="spellStart"/>
      <w:r w:rsidRPr="00AA7D84">
        <w:rPr>
          <w:rFonts w:ascii="Times New Roman" w:hAnsi="Times New Roman" w:cs="Times New Roman"/>
          <w:sz w:val="24"/>
          <w:szCs w:val="24"/>
        </w:rPr>
        <w:t>Giﬁ</w:t>
      </w:r>
      <w:proofErr w:type="spellEnd"/>
      <w:r w:rsidRPr="00AA7D84">
        <w:rPr>
          <w:rFonts w:ascii="Times New Roman" w:hAnsi="Times New Roman" w:cs="Times New Roman"/>
          <w:sz w:val="24"/>
          <w:szCs w:val="24"/>
        </w:rPr>
        <w:t xml:space="preserve"> system (</w:t>
      </w:r>
      <w:proofErr w:type="spellStart"/>
      <w:r w:rsidRPr="00AA7D84">
        <w:rPr>
          <w:rFonts w:ascii="Times New Roman" w:hAnsi="Times New Roman" w:cs="Times New Roman"/>
          <w:sz w:val="24"/>
          <w:szCs w:val="24"/>
        </w:rPr>
        <w:t>Giﬁ</w:t>
      </w:r>
      <w:proofErr w:type="spellEnd"/>
      <w:r w:rsidRPr="00AA7D84">
        <w:rPr>
          <w:rFonts w:ascii="Times New Roman" w:hAnsi="Times New Roman" w:cs="Times New Roman"/>
          <w:sz w:val="24"/>
          <w:szCs w:val="24"/>
        </w:rPr>
        <w:t xml:space="preserve"> 1990) to quantify categorical variables according to a particular scaling level, thus “transforming” categorical variables into numeric variables. By use of optimal scaling, numerical values are calculated to replace the categorical values, while at the same time regression coe</w:t>
      </w:r>
      <w:r w:rsidRPr="00AA7D84">
        <w:rPr>
          <w:rFonts w:ascii="Cambria Math" w:hAnsi="Cambria Math" w:cs="Cambria Math"/>
          <w:sz w:val="24"/>
          <w:szCs w:val="24"/>
        </w:rPr>
        <w:t>ﬃ</w:t>
      </w:r>
      <w:r w:rsidRPr="00AA7D84">
        <w:rPr>
          <w:rFonts w:ascii="Times New Roman" w:hAnsi="Times New Roman" w:cs="Times New Roman"/>
          <w:sz w:val="24"/>
          <w:szCs w:val="24"/>
        </w:rPr>
        <w:t>cients are estimated. The idea behind optimal scaling is to assign numerical quantiﬁcations to the categories of each variable, thus allowing standard procedures to be used to obtain a solution on the quantiﬁed variables (</w:t>
      </w:r>
      <w:proofErr w:type="spellStart"/>
      <w:r w:rsidRPr="00AA7D84">
        <w:rPr>
          <w:rFonts w:ascii="Times New Roman" w:hAnsi="Times New Roman" w:cs="Times New Roman"/>
          <w:sz w:val="24"/>
          <w:szCs w:val="24"/>
        </w:rPr>
        <w:t>Meulmam</w:t>
      </w:r>
      <w:proofErr w:type="spellEnd"/>
      <w:r w:rsidRPr="00AA7D84">
        <w:rPr>
          <w:rFonts w:ascii="Times New Roman" w:hAnsi="Times New Roman" w:cs="Times New Roman"/>
          <w:sz w:val="24"/>
          <w:szCs w:val="24"/>
        </w:rPr>
        <w:t xml:space="preserve"> and </w:t>
      </w:r>
      <w:proofErr w:type="spellStart"/>
      <w:r w:rsidRPr="00AA7D84">
        <w:rPr>
          <w:rFonts w:ascii="Times New Roman" w:hAnsi="Times New Roman" w:cs="Times New Roman"/>
          <w:sz w:val="24"/>
          <w:szCs w:val="24"/>
        </w:rPr>
        <w:t>Heiser</w:t>
      </w:r>
      <w:proofErr w:type="spellEnd"/>
      <w:r w:rsidRPr="00AA7D84">
        <w:rPr>
          <w:rFonts w:ascii="Times New Roman" w:hAnsi="Times New Roman" w:cs="Times New Roman"/>
          <w:sz w:val="24"/>
          <w:szCs w:val="24"/>
        </w:rPr>
        <w:t xml:space="preserve">, 2012).  Scaling all variables at the numerical level corresponds to standard multiple regression analysis. According to </w:t>
      </w:r>
      <w:proofErr w:type="spellStart"/>
      <w:r w:rsidRPr="00AA7D84">
        <w:rPr>
          <w:rFonts w:ascii="Times New Roman" w:hAnsi="Times New Roman" w:cs="Times New Roman"/>
          <w:sz w:val="24"/>
          <w:szCs w:val="24"/>
        </w:rPr>
        <w:t>Meulman</w:t>
      </w:r>
      <w:proofErr w:type="spellEnd"/>
      <w:r w:rsidRPr="00AA7D84">
        <w:rPr>
          <w:rFonts w:ascii="Times New Roman" w:hAnsi="Times New Roman" w:cs="Times New Roman"/>
          <w:sz w:val="24"/>
          <w:szCs w:val="24"/>
        </w:rPr>
        <w:t xml:space="preserve"> (1998), the optimal scaling process turns qualitative variables into quantitative ones. Optimality is a relative notion, because it is always obtained with respect to the particular data set that is </w:t>
      </w:r>
      <w:proofErr w:type="spellStart"/>
      <w:r w:rsidRPr="00AA7D84">
        <w:rPr>
          <w:rFonts w:ascii="Times New Roman" w:hAnsi="Times New Roman" w:cs="Times New Roman"/>
          <w:sz w:val="24"/>
          <w:szCs w:val="24"/>
        </w:rPr>
        <w:t>analyzed</w:t>
      </w:r>
      <w:proofErr w:type="spellEnd"/>
      <w:r w:rsidRPr="00AA7D84">
        <w:rPr>
          <w:rFonts w:ascii="Times New Roman" w:hAnsi="Times New Roman" w:cs="Times New Roman"/>
          <w:sz w:val="24"/>
          <w:szCs w:val="24"/>
        </w:rPr>
        <w:t xml:space="preserve"> and the particular criterion that is optimized.</w:t>
      </w:r>
    </w:p>
    <w:p w:rsidR="002C7F04" w:rsidRPr="00AA7D84" w:rsidRDefault="002C7F04" w:rsidP="002C7F04">
      <w:pPr>
        <w:ind w:right="95"/>
        <w:jc w:val="both"/>
        <w:rPr>
          <w:rFonts w:ascii="Times New Roman" w:hAnsi="Times New Roman" w:cs="Times New Roman"/>
          <w:sz w:val="24"/>
          <w:szCs w:val="24"/>
        </w:rPr>
      </w:pPr>
      <w:r w:rsidRPr="00AA7D84">
        <w:rPr>
          <w:rFonts w:ascii="Times New Roman" w:hAnsi="Times New Roman" w:cs="Times New Roman"/>
          <w:sz w:val="24"/>
          <w:szCs w:val="24"/>
        </w:rPr>
        <w:lastRenderedPageBreak/>
        <w:t xml:space="preserve">According to Jacqueline and Willem (2005), the use of Categorical Regression is most appropriate when the goal of your analysis is to predict a dependent (response) variable from a set of independent (predictor) variables measured on a combination of nominal, ordinal, and/or interval scales. The goal of categorical regression with optimal scaling is to describe the relationship between a response variable and a set of predictors. By quantifying this relationship, values of the response can be predicted for any combination of predictors (Jacqueline and Willem, 2005). </w:t>
      </w:r>
      <w:proofErr w:type="spellStart"/>
      <w:r w:rsidRPr="00AA7D84">
        <w:rPr>
          <w:rFonts w:ascii="Times New Roman" w:hAnsi="Times New Roman" w:cs="Times New Roman"/>
          <w:sz w:val="24"/>
          <w:szCs w:val="24"/>
        </w:rPr>
        <w:t>Srijan</w:t>
      </w:r>
      <w:proofErr w:type="spellEnd"/>
      <w:r w:rsidRPr="00AA7D84">
        <w:rPr>
          <w:rFonts w:ascii="Times New Roman" w:hAnsi="Times New Roman" w:cs="Times New Roman"/>
          <w:sz w:val="24"/>
          <w:szCs w:val="24"/>
        </w:rPr>
        <w:t xml:space="preserve"> (2009) described categorical regression as quantifying categorical data by assigning numerical values to the categories using optimal scaling method and resulting in an optimal linear regression equation for the transformed variables. Categorical regression extends the standard approach by simultaneously scaling nominal, ordinal, and numerical variables. The procedure quantifies categorical variables so that the quantifications reflect characteristics of the original categories. The procedure treats quantified categorical variables in the same way as numerical variables. Using nonlinear transformations allow variables to be </w:t>
      </w:r>
      <w:proofErr w:type="spellStart"/>
      <w:r w:rsidRPr="00AA7D84">
        <w:rPr>
          <w:rFonts w:ascii="Times New Roman" w:hAnsi="Times New Roman" w:cs="Times New Roman"/>
          <w:sz w:val="24"/>
          <w:szCs w:val="24"/>
        </w:rPr>
        <w:t>analyzed</w:t>
      </w:r>
      <w:proofErr w:type="spellEnd"/>
      <w:r w:rsidRPr="00AA7D84">
        <w:rPr>
          <w:rFonts w:ascii="Times New Roman" w:hAnsi="Times New Roman" w:cs="Times New Roman"/>
          <w:sz w:val="24"/>
          <w:szCs w:val="24"/>
        </w:rPr>
        <w:t xml:space="preserve"> at a variety of levels to find the best-fitting model. The estimated parameters of the model reveal the significance and magnitude of effect of any housing feature. Similar to other regression analysis, it allows a researcher to estimate, on average, how specific factors (called explanatory, or independent variables) affect the price of a good (called the dependent variable), holding other key factors constant (</w:t>
      </w:r>
      <w:proofErr w:type="spellStart"/>
      <w:r w:rsidRPr="00AA7D84">
        <w:rPr>
          <w:rFonts w:ascii="Times New Roman" w:hAnsi="Times New Roman" w:cs="Times New Roman"/>
          <w:sz w:val="24"/>
          <w:szCs w:val="24"/>
        </w:rPr>
        <w:t>Netusil</w:t>
      </w:r>
      <w:proofErr w:type="spellEnd"/>
      <w:r w:rsidRPr="00AA7D84">
        <w:rPr>
          <w:rFonts w:ascii="Times New Roman" w:hAnsi="Times New Roman" w:cs="Times New Roman"/>
          <w:sz w:val="24"/>
          <w:szCs w:val="24"/>
        </w:rPr>
        <w:t>, 2003).</w:t>
      </w:r>
    </w:p>
    <w:p w:rsidR="002C7F04" w:rsidRPr="00AA7D84" w:rsidRDefault="002C7F04" w:rsidP="002C7F04">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In this </w:t>
      </w:r>
      <w:r w:rsidR="00712193">
        <w:rPr>
          <w:rFonts w:ascii="Times New Roman" w:hAnsi="Times New Roman" w:cs="Times New Roman"/>
          <w:sz w:val="24"/>
          <w:szCs w:val="24"/>
        </w:rPr>
        <w:t xml:space="preserve">study, </w:t>
      </w:r>
      <w:r w:rsidRPr="00AA7D84">
        <w:rPr>
          <w:rFonts w:ascii="Times New Roman" w:hAnsi="Times New Roman" w:cs="Times New Roman"/>
          <w:sz w:val="24"/>
          <w:szCs w:val="24"/>
        </w:rPr>
        <w:t>rental values</w:t>
      </w:r>
      <w:r w:rsidR="00712193">
        <w:rPr>
          <w:rFonts w:ascii="Times New Roman" w:hAnsi="Times New Roman" w:cs="Times New Roman"/>
          <w:sz w:val="24"/>
          <w:szCs w:val="24"/>
        </w:rPr>
        <w:t xml:space="preserve"> of housing units are </w:t>
      </w:r>
      <w:r w:rsidRPr="00AA7D84">
        <w:rPr>
          <w:rFonts w:ascii="Times New Roman" w:hAnsi="Times New Roman" w:cs="Times New Roman"/>
          <w:sz w:val="24"/>
          <w:szCs w:val="24"/>
        </w:rPr>
        <w:t xml:space="preserve">related to the </w:t>
      </w:r>
      <w:r w:rsidR="00712193">
        <w:rPr>
          <w:rFonts w:ascii="Times New Roman" w:hAnsi="Times New Roman" w:cs="Times New Roman"/>
          <w:sz w:val="24"/>
          <w:szCs w:val="24"/>
        </w:rPr>
        <w:t xml:space="preserve">amenities within neighbourhoods of </w:t>
      </w:r>
      <w:proofErr w:type="spellStart"/>
      <w:r w:rsidR="00712193">
        <w:rPr>
          <w:rFonts w:ascii="Times New Roman" w:hAnsi="Times New Roman" w:cs="Times New Roman"/>
          <w:sz w:val="24"/>
          <w:szCs w:val="24"/>
        </w:rPr>
        <w:t>Minna</w:t>
      </w:r>
      <w:proofErr w:type="spellEnd"/>
      <w:r w:rsidR="00712193">
        <w:rPr>
          <w:rFonts w:ascii="Times New Roman" w:hAnsi="Times New Roman" w:cs="Times New Roman"/>
          <w:sz w:val="24"/>
          <w:szCs w:val="24"/>
        </w:rPr>
        <w:t>, Nigeria</w:t>
      </w:r>
      <w:r w:rsidRPr="00AA7D84">
        <w:rPr>
          <w:rFonts w:ascii="Times New Roman" w:hAnsi="Times New Roman" w:cs="Times New Roman"/>
          <w:sz w:val="24"/>
          <w:szCs w:val="24"/>
        </w:rPr>
        <w:t xml:space="preserve">. </w:t>
      </w:r>
      <w:r w:rsidR="00712193">
        <w:rPr>
          <w:rFonts w:ascii="Times New Roman" w:hAnsi="Times New Roman" w:cs="Times New Roman"/>
          <w:sz w:val="24"/>
          <w:szCs w:val="24"/>
        </w:rPr>
        <w:t>A</w:t>
      </w:r>
      <w:r w:rsidRPr="00AA7D84">
        <w:rPr>
          <w:rFonts w:ascii="Times New Roman" w:hAnsi="Times New Roman" w:cs="Times New Roman"/>
          <w:sz w:val="24"/>
          <w:szCs w:val="24"/>
        </w:rPr>
        <w:t xml:space="preserve"> regression analyses w</w:t>
      </w:r>
      <w:r w:rsidR="00712193">
        <w:rPr>
          <w:rFonts w:ascii="Times New Roman" w:hAnsi="Times New Roman" w:cs="Times New Roman"/>
          <w:sz w:val="24"/>
          <w:szCs w:val="24"/>
        </w:rPr>
        <w:t>as</w:t>
      </w:r>
      <w:r w:rsidRPr="00AA7D84">
        <w:rPr>
          <w:rFonts w:ascii="Times New Roman" w:hAnsi="Times New Roman" w:cs="Times New Roman"/>
          <w:sz w:val="24"/>
          <w:szCs w:val="24"/>
        </w:rPr>
        <w:t xml:space="preserve"> performed for the study area. The dependent variables </w:t>
      </w:r>
      <w:r w:rsidR="00712193">
        <w:rPr>
          <w:rFonts w:ascii="Times New Roman" w:hAnsi="Times New Roman" w:cs="Times New Roman"/>
          <w:sz w:val="24"/>
          <w:szCs w:val="24"/>
        </w:rPr>
        <w:t xml:space="preserve">comprised of </w:t>
      </w:r>
      <w:r w:rsidRPr="00AA7D84">
        <w:rPr>
          <w:rFonts w:ascii="Times New Roman" w:hAnsi="Times New Roman" w:cs="Times New Roman"/>
          <w:sz w:val="24"/>
          <w:szCs w:val="24"/>
        </w:rPr>
        <w:t>rental values</w:t>
      </w:r>
      <w:r w:rsidR="00712193">
        <w:rPr>
          <w:rFonts w:ascii="Times New Roman" w:hAnsi="Times New Roman" w:cs="Times New Roman"/>
          <w:sz w:val="24"/>
          <w:szCs w:val="24"/>
        </w:rPr>
        <w:t xml:space="preserve"> (y),</w:t>
      </w:r>
      <w:r w:rsidRPr="00AA7D84">
        <w:rPr>
          <w:rFonts w:ascii="Times New Roman" w:hAnsi="Times New Roman" w:cs="Times New Roman"/>
          <w:sz w:val="24"/>
          <w:szCs w:val="24"/>
        </w:rPr>
        <w:t xml:space="preserve"> while the independent variables are</w:t>
      </w:r>
      <w:r w:rsidR="00712193">
        <w:rPr>
          <w:rFonts w:ascii="Times New Roman" w:hAnsi="Times New Roman" w:cs="Times New Roman"/>
          <w:sz w:val="24"/>
          <w:szCs w:val="24"/>
        </w:rPr>
        <w:t xml:space="preserve"> the amenities sustaining the housing units in the various neighbourhoods</w:t>
      </w:r>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x</w:t>
      </w:r>
      <w:r w:rsidRPr="00AA7D84">
        <w:rPr>
          <w:rFonts w:ascii="Times New Roman" w:hAnsi="Times New Roman" w:cs="Times New Roman"/>
          <w:sz w:val="24"/>
          <w:szCs w:val="24"/>
        </w:rPr>
        <w:t xml:space="preserve">). Thus, a functional equation designed to capture the relationship between rental values and </w:t>
      </w:r>
      <w:r w:rsidR="00712193">
        <w:rPr>
          <w:rFonts w:ascii="Times New Roman" w:hAnsi="Times New Roman" w:cs="Times New Roman"/>
          <w:sz w:val="24"/>
          <w:szCs w:val="24"/>
        </w:rPr>
        <w:t xml:space="preserve">amenities </w:t>
      </w:r>
      <w:r w:rsidRPr="00AA7D84">
        <w:rPr>
          <w:rFonts w:ascii="Times New Roman" w:hAnsi="Times New Roman" w:cs="Times New Roman"/>
          <w:sz w:val="24"/>
          <w:szCs w:val="24"/>
        </w:rPr>
        <w:t>takes the form:</w:t>
      </w:r>
    </w:p>
    <w:p w:rsidR="002C7F04" w:rsidRPr="00AA7D84" w:rsidRDefault="002C7F04" w:rsidP="002C7F04">
      <w:pPr>
        <w:ind w:right="95"/>
        <w:jc w:val="center"/>
        <w:rPr>
          <w:rFonts w:ascii="Times New Roman" w:hAnsi="Times New Roman" w:cs="Times New Roman"/>
          <w:sz w:val="24"/>
          <w:szCs w:val="24"/>
        </w:rPr>
      </w:pPr>
      <w:r w:rsidRPr="00AA7D84">
        <w:rPr>
          <w:rFonts w:ascii="Times New Roman" w:hAnsi="Times New Roman" w:cs="Times New Roman"/>
          <w:sz w:val="24"/>
          <w:szCs w:val="24"/>
        </w:rPr>
        <w:t xml:space="preserve">REV </w:t>
      </w:r>
      <w:proofErr w:type="gramStart"/>
      <w:r w:rsidRPr="00AA7D84">
        <w:rPr>
          <w:rFonts w:ascii="Times New Roman" w:hAnsi="Times New Roman" w:cs="Times New Roman"/>
          <w:sz w:val="24"/>
          <w:szCs w:val="24"/>
        </w:rPr>
        <w:t xml:space="preserve">=  </w:t>
      </w:r>
      <w:r w:rsidRPr="00AA7D84">
        <w:rPr>
          <w:rFonts w:ascii="Times New Roman" w:hAnsi="Times New Roman" w:cs="Times New Roman"/>
          <w:i/>
          <w:sz w:val="24"/>
          <w:szCs w:val="24"/>
        </w:rPr>
        <w:t>f</w:t>
      </w:r>
      <w:proofErr w:type="gramEnd"/>
      <w:r w:rsidRPr="00AA7D84">
        <w:rPr>
          <w:rFonts w:ascii="Times New Roman" w:hAnsi="Times New Roman" w:cs="Times New Roman"/>
          <w:sz w:val="24"/>
          <w:szCs w:val="24"/>
        </w:rPr>
        <w:t xml:space="preserve"> (x) ……………………………. (1)</w:t>
      </w:r>
    </w:p>
    <w:p w:rsidR="002C7F04" w:rsidRPr="00AA7D84" w:rsidRDefault="002C7F04" w:rsidP="002C7F04">
      <w:pPr>
        <w:spacing w:after="0"/>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Where </w:t>
      </w:r>
      <w:proofErr w:type="gramStart"/>
      <w:r w:rsidRPr="00AA7D84">
        <w:rPr>
          <w:rFonts w:ascii="Times New Roman" w:hAnsi="Times New Roman" w:cs="Times New Roman"/>
          <w:sz w:val="24"/>
          <w:szCs w:val="24"/>
        </w:rPr>
        <w:t>REV  =</w:t>
      </w:r>
      <w:proofErr w:type="gramEnd"/>
      <w:r w:rsidRPr="00AA7D84">
        <w:rPr>
          <w:rFonts w:ascii="Times New Roman" w:hAnsi="Times New Roman" w:cs="Times New Roman"/>
          <w:sz w:val="24"/>
          <w:szCs w:val="24"/>
        </w:rPr>
        <w:t xml:space="preserve">  Rental value</w:t>
      </w:r>
    </w:p>
    <w:p w:rsidR="002C7F04" w:rsidRPr="00AA7D84" w:rsidRDefault="002C7F04" w:rsidP="002C7F04">
      <w:pPr>
        <w:spacing w:after="0"/>
        <w:ind w:right="95"/>
        <w:jc w:val="both"/>
        <w:rPr>
          <w:rFonts w:ascii="Times New Roman" w:hAnsi="Times New Roman" w:cs="Times New Roman"/>
          <w:sz w:val="24"/>
          <w:szCs w:val="24"/>
        </w:rPr>
      </w:pPr>
      <w:r w:rsidRPr="00AA7D84">
        <w:rPr>
          <w:rFonts w:ascii="Times New Roman" w:hAnsi="Times New Roman" w:cs="Times New Roman"/>
          <w:sz w:val="24"/>
          <w:szCs w:val="24"/>
        </w:rPr>
        <w:tab/>
      </w:r>
    </w:p>
    <w:p w:rsidR="002C7F04" w:rsidRPr="00AA7D84" w:rsidRDefault="00712193" w:rsidP="002C7F04">
      <w:pPr>
        <w:spacing w:after="0"/>
        <w:ind w:right="95"/>
        <w:jc w:val="both"/>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x consist</w:t>
      </w:r>
      <w:proofErr w:type="gramEnd"/>
      <w:r>
        <w:rPr>
          <w:rFonts w:ascii="Times New Roman" w:hAnsi="Times New Roman" w:cs="Times New Roman"/>
          <w:sz w:val="24"/>
          <w:szCs w:val="24"/>
        </w:rPr>
        <w:t xml:space="preserve"> of the following</w:t>
      </w:r>
      <w:r w:rsidR="002C7F04" w:rsidRPr="00AA7D84">
        <w:rPr>
          <w:rFonts w:ascii="Times New Roman" w:hAnsi="Times New Roman" w:cs="Times New Roman"/>
          <w:sz w:val="24"/>
          <w:szCs w:val="24"/>
        </w:rPr>
        <w:t>:</w:t>
      </w:r>
    </w:p>
    <w:tbl>
      <w:tblPr>
        <w:tblW w:w="9229" w:type="dxa"/>
        <w:tblInd w:w="93" w:type="dxa"/>
        <w:tblLook w:val="04A0" w:firstRow="1" w:lastRow="0" w:firstColumn="1" w:lastColumn="0" w:noHBand="0" w:noVBand="1"/>
      </w:tblPr>
      <w:tblGrid>
        <w:gridCol w:w="1149"/>
        <w:gridCol w:w="4395"/>
        <w:gridCol w:w="3685"/>
      </w:tblGrid>
      <w:tr w:rsidR="002C7F04" w:rsidRPr="00AA7D84" w:rsidTr="001B14F8">
        <w:trPr>
          <w:trHeight w:val="243"/>
        </w:trPr>
        <w:tc>
          <w:tcPr>
            <w:tcW w:w="1149" w:type="dxa"/>
          </w:tcPr>
          <w:p w:rsidR="002C7F04" w:rsidRPr="00AA7D84" w:rsidRDefault="002C7F04" w:rsidP="002C7F04">
            <w:pPr>
              <w:spacing w:after="0"/>
              <w:ind w:right="95"/>
              <w:jc w:val="center"/>
              <w:rPr>
                <w:rFonts w:ascii="Times New Roman" w:eastAsia="Times New Roman" w:hAnsi="Times New Roman" w:cs="Times New Roman"/>
                <w:color w:val="000000"/>
                <w:sz w:val="14"/>
                <w:szCs w:val="24"/>
                <w:lang w:eastAsia="en-GB"/>
              </w:rPr>
            </w:pPr>
          </w:p>
          <w:p w:rsidR="002C7F04" w:rsidRPr="00AA7D84" w:rsidRDefault="002C7F04" w:rsidP="002C7F04">
            <w:pPr>
              <w:spacing w:after="0"/>
              <w:ind w:right="95"/>
              <w:jc w:val="center"/>
              <w:rPr>
                <w:rFonts w:ascii="Times New Roman" w:eastAsia="Times New Roman" w:hAnsi="Times New Roman" w:cs="Times New Roman"/>
                <w:color w:val="000000"/>
                <w:sz w:val="4"/>
                <w:szCs w:val="24"/>
                <w:lang w:eastAsia="en-GB"/>
              </w:rPr>
            </w:pPr>
          </w:p>
        </w:tc>
        <w:tc>
          <w:tcPr>
            <w:tcW w:w="4395" w:type="dxa"/>
            <w:shd w:val="clear" w:color="auto" w:fill="auto"/>
            <w:noWrap/>
            <w:vAlign w:val="center"/>
            <w:hideMark/>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 xml:space="preserve">1 </w:t>
            </w:r>
            <w:r w:rsidRPr="00AA7D84">
              <w:rPr>
                <w:rFonts w:ascii="Times New Roman" w:eastAsia="Times New Roman" w:hAnsi="Times New Roman" w:cs="Times New Roman"/>
                <w:color w:val="000000"/>
                <w:sz w:val="24"/>
                <w:szCs w:val="24"/>
                <w:lang w:eastAsia="en-GB"/>
              </w:rPr>
              <w:t xml:space="preserve">= Shopping centres </w:t>
            </w:r>
          </w:p>
        </w:tc>
        <w:tc>
          <w:tcPr>
            <w:tcW w:w="3685" w:type="dxa"/>
            <w:shd w:val="clear" w:color="auto" w:fill="auto"/>
            <w:noWrap/>
            <w:vAlign w:val="center"/>
            <w:hideMark/>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6</w:t>
            </w:r>
            <w:r w:rsidRPr="00AA7D84">
              <w:rPr>
                <w:rFonts w:ascii="Times New Roman" w:eastAsia="Times New Roman" w:hAnsi="Times New Roman" w:cs="Times New Roman"/>
                <w:color w:val="000000"/>
                <w:sz w:val="24"/>
                <w:szCs w:val="24"/>
                <w:lang w:eastAsia="en-GB"/>
              </w:rPr>
              <w:t xml:space="preserve"> = Refuse disposal sites</w:t>
            </w:r>
          </w:p>
        </w:tc>
      </w:tr>
      <w:tr w:rsidR="002C7F04" w:rsidRPr="00AA7D84" w:rsidTr="001B14F8">
        <w:trPr>
          <w:trHeight w:val="206"/>
        </w:trPr>
        <w:tc>
          <w:tcPr>
            <w:tcW w:w="1149" w:type="dxa"/>
          </w:tcPr>
          <w:p w:rsidR="002C7F04" w:rsidRPr="00AA7D84" w:rsidRDefault="002C7F04" w:rsidP="002C7F04">
            <w:pPr>
              <w:spacing w:after="0"/>
              <w:ind w:right="95"/>
              <w:jc w:val="center"/>
              <w:rPr>
                <w:rFonts w:ascii="Times New Roman" w:eastAsia="Times New Roman" w:hAnsi="Times New Roman" w:cs="Times New Roman"/>
                <w:color w:val="000000"/>
                <w:sz w:val="14"/>
                <w:szCs w:val="24"/>
                <w:lang w:eastAsia="en-GB"/>
              </w:rPr>
            </w:pPr>
            <w:r w:rsidRPr="00AA7D84">
              <w:rPr>
                <w:rFonts w:ascii="Times New Roman" w:eastAsia="Times New Roman" w:hAnsi="Times New Roman" w:cs="Times New Roman"/>
                <w:color w:val="000000"/>
                <w:sz w:val="24"/>
                <w:szCs w:val="24"/>
                <w:lang w:eastAsia="en-GB"/>
              </w:rPr>
              <w:t>X   =&gt;</w:t>
            </w:r>
          </w:p>
        </w:tc>
        <w:tc>
          <w:tcPr>
            <w:tcW w:w="439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2</w:t>
            </w:r>
            <w:r w:rsidRPr="00AA7D84">
              <w:rPr>
                <w:rFonts w:ascii="Times New Roman" w:eastAsia="Times New Roman" w:hAnsi="Times New Roman" w:cs="Times New Roman"/>
                <w:color w:val="000000"/>
                <w:sz w:val="24"/>
                <w:szCs w:val="24"/>
                <w:lang w:eastAsia="en-GB"/>
              </w:rPr>
              <w:t xml:space="preserve"> = Educational institutions</w:t>
            </w:r>
          </w:p>
        </w:tc>
        <w:tc>
          <w:tcPr>
            <w:tcW w:w="368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7</w:t>
            </w:r>
            <w:r w:rsidRPr="00AA7D84">
              <w:rPr>
                <w:rFonts w:ascii="Times New Roman" w:eastAsia="Times New Roman" w:hAnsi="Times New Roman" w:cs="Times New Roman"/>
                <w:color w:val="000000"/>
                <w:sz w:val="24"/>
                <w:szCs w:val="24"/>
                <w:lang w:eastAsia="en-GB"/>
              </w:rPr>
              <w:t xml:space="preserve"> = Security/ Crime rate</w:t>
            </w:r>
          </w:p>
        </w:tc>
      </w:tr>
      <w:tr w:rsidR="002C7F04" w:rsidRPr="00AA7D84" w:rsidTr="001B14F8">
        <w:trPr>
          <w:trHeight w:val="256"/>
        </w:trPr>
        <w:tc>
          <w:tcPr>
            <w:tcW w:w="1149" w:type="dxa"/>
          </w:tcPr>
          <w:p w:rsidR="002C7F04" w:rsidRPr="00AA7D84" w:rsidRDefault="002C7F04" w:rsidP="002C7F04">
            <w:pPr>
              <w:spacing w:after="0"/>
              <w:ind w:right="95"/>
              <w:jc w:val="center"/>
              <w:rPr>
                <w:rFonts w:ascii="Times New Roman" w:eastAsia="Times New Roman" w:hAnsi="Times New Roman" w:cs="Times New Roman"/>
                <w:color w:val="000000"/>
                <w:sz w:val="14"/>
                <w:szCs w:val="24"/>
                <w:lang w:eastAsia="en-GB"/>
              </w:rPr>
            </w:pPr>
          </w:p>
        </w:tc>
        <w:tc>
          <w:tcPr>
            <w:tcW w:w="439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3</w:t>
            </w:r>
            <w:r w:rsidRPr="00AA7D84">
              <w:rPr>
                <w:rFonts w:ascii="Times New Roman" w:eastAsia="Times New Roman" w:hAnsi="Times New Roman" w:cs="Times New Roman"/>
                <w:color w:val="000000"/>
                <w:sz w:val="24"/>
                <w:szCs w:val="24"/>
                <w:lang w:eastAsia="en-GB"/>
              </w:rPr>
              <w:t xml:space="preserve"> = Health care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368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8</w:t>
            </w:r>
            <w:r w:rsidRPr="00AA7D84">
              <w:rPr>
                <w:rFonts w:ascii="Times New Roman" w:eastAsia="Times New Roman" w:hAnsi="Times New Roman" w:cs="Times New Roman"/>
                <w:color w:val="000000"/>
                <w:sz w:val="24"/>
                <w:szCs w:val="24"/>
                <w:lang w:eastAsia="en-GB"/>
              </w:rPr>
              <w:t xml:space="preserve"> = Electricity supply</w:t>
            </w:r>
          </w:p>
        </w:tc>
      </w:tr>
      <w:tr w:rsidR="002C7F04" w:rsidRPr="00AA7D84" w:rsidTr="001B14F8">
        <w:trPr>
          <w:trHeight w:val="390"/>
        </w:trPr>
        <w:tc>
          <w:tcPr>
            <w:tcW w:w="1149" w:type="dxa"/>
          </w:tcPr>
          <w:p w:rsidR="002C7F04" w:rsidRPr="00AA7D84" w:rsidRDefault="002C7F04" w:rsidP="002C7F04">
            <w:pPr>
              <w:spacing w:after="0"/>
              <w:ind w:right="95"/>
              <w:jc w:val="center"/>
              <w:rPr>
                <w:rFonts w:ascii="Times New Roman" w:eastAsia="Times New Roman" w:hAnsi="Times New Roman" w:cs="Times New Roman"/>
                <w:color w:val="000000"/>
                <w:sz w:val="14"/>
                <w:szCs w:val="24"/>
                <w:lang w:eastAsia="en-GB"/>
              </w:rPr>
            </w:pPr>
          </w:p>
        </w:tc>
        <w:tc>
          <w:tcPr>
            <w:tcW w:w="439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4</w:t>
            </w:r>
            <w:r w:rsidRPr="00AA7D84">
              <w:rPr>
                <w:rFonts w:ascii="Times New Roman" w:eastAsia="Times New Roman" w:hAnsi="Times New Roman" w:cs="Times New Roman"/>
                <w:color w:val="000000"/>
                <w:sz w:val="24"/>
                <w:szCs w:val="24"/>
                <w:lang w:eastAsia="en-GB"/>
              </w:rPr>
              <w:t xml:space="preserve"> = Recreational facilities</w:t>
            </w:r>
          </w:p>
        </w:tc>
        <w:tc>
          <w:tcPr>
            <w:tcW w:w="368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9</w:t>
            </w:r>
            <w:r w:rsidRPr="00AA7D84">
              <w:rPr>
                <w:rFonts w:ascii="Times New Roman" w:eastAsia="Times New Roman" w:hAnsi="Times New Roman" w:cs="Times New Roman"/>
                <w:color w:val="000000"/>
                <w:sz w:val="24"/>
                <w:szCs w:val="24"/>
                <w:lang w:eastAsia="en-GB"/>
              </w:rPr>
              <w:t xml:space="preserve"> = Water supply</w:t>
            </w:r>
          </w:p>
        </w:tc>
      </w:tr>
      <w:tr w:rsidR="002C7F04" w:rsidRPr="00AA7D84" w:rsidTr="001B14F8">
        <w:trPr>
          <w:trHeight w:val="390"/>
        </w:trPr>
        <w:tc>
          <w:tcPr>
            <w:tcW w:w="1149" w:type="dxa"/>
          </w:tcPr>
          <w:p w:rsidR="002C7F04" w:rsidRPr="00AA7D84" w:rsidRDefault="002C7F04" w:rsidP="002C7F04">
            <w:pPr>
              <w:spacing w:after="0"/>
              <w:ind w:right="95"/>
              <w:jc w:val="center"/>
              <w:rPr>
                <w:rFonts w:ascii="Times New Roman" w:eastAsia="Times New Roman" w:hAnsi="Times New Roman" w:cs="Times New Roman"/>
                <w:color w:val="000000"/>
                <w:sz w:val="14"/>
                <w:szCs w:val="24"/>
                <w:lang w:eastAsia="en-GB"/>
              </w:rPr>
            </w:pPr>
          </w:p>
        </w:tc>
        <w:tc>
          <w:tcPr>
            <w:tcW w:w="439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X</w:t>
            </w:r>
            <w:r w:rsidRPr="00AA7D84">
              <w:rPr>
                <w:rFonts w:ascii="Times New Roman" w:eastAsia="Times New Roman" w:hAnsi="Times New Roman" w:cs="Times New Roman"/>
                <w:color w:val="000000"/>
                <w:sz w:val="24"/>
                <w:szCs w:val="24"/>
                <w:vertAlign w:val="subscript"/>
                <w:lang w:eastAsia="en-GB"/>
              </w:rPr>
              <w:t>5</w:t>
            </w:r>
            <w:r w:rsidRPr="00AA7D84">
              <w:rPr>
                <w:rFonts w:ascii="Times New Roman" w:eastAsia="Times New Roman" w:hAnsi="Times New Roman" w:cs="Times New Roman"/>
                <w:color w:val="000000"/>
                <w:sz w:val="24"/>
                <w:szCs w:val="24"/>
                <w:lang w:eastAsia="en-GB"/>
              </w:rPr>
              <w:t xml:space="preserve"> = Major access roads</w:t>
            </w:r>
          </w:p>
        </w:tc>
        <w:tc>
          <w:tcPr>
            <w:tcW w:w="3685" w:type="dxa"/>
            <w:shd w:val="clear" w:color="auto" w:fill="auto"/>
            <w:noWrap/>
            <w:vAlign w:val="center"/>
          </w:tcPr>
          <w:p w:rsidR="002C7F04" w:rsidRPr="00AA7D84" w:rsidRDefault="002C7F04" w:rsidP="002C7F04">
            <w:pPr>
              <w:spacing w:after="0"/>
              <w:ind w:right="95"/>
              <w:jc w:val="both"/>
              <w:rPr>
                <w:rFonts w:ascii="Times New Roman" w:eastAsia="Times New Roman" w:hAnsi="Times New Roman" w:cs="Times New Roman"/>
                <w:color w:val="000000"/>
                <w:sz w:val="24"/>
                <w:szCs w:val="24"/>
                <w:lang w:eastAsia="en-GB"/>
              </w:rPr>
            </w:pPr>
          </w:p>
        </w:tc>
      </w:tr>
    </w:tbl>
    <w:p w:rsidR="0033230F" w:rsidRPr="0033230F" w:rsidRDefault="0033230F" w:rsidP="002C7F04">
      <w:pPr>
        <w:ind w:right="95"/>
        <w:jc w:val="both"/>
        <w:rPr>
          <w:rFonts w:ascii="Times New Roman" w:hAnsi="Times New Roman" w:cs="Times New Roman"/>
          <w:sz w:val="24"/>
          <w:szCs w:val="24"/>
        </w:rPr>
      </w:pPr>
    </w:p>
    <w:p w:rsidR="0033230F" w:rsidRDefault="0033230F" w:rsidP="002C7F04">
      <w:pPr>
        <w:ind w:right="95"/>
        <w:jc w:val="both"/>
        <w:rPr>
          <w:rFonts w:ascii="Times New Roman" w:hAnsi="Times New Roman" w:cs="Times New Roman"/>
          <w:b/>
          <w:sz w:val="24"/>
          <w:szCs w:val="24"/>
        </w:rPr>
      </w:pPr>
      <w:r w:rsidRPr="0033230F">
        <w:rPr>
          <w:rFonts w:ascii="Times New Roman" w:hAnsi="Times New Roman" w:cs="Times New Roman"/>
          <w:b/>
          <w:sz w:val="24"/>
          <w:szCs w:val="24"/>
        </w:rPr>
        <w:t>Methodology</w:t>
      </w:r>
    </w:p>
    <w:p w:rsidR="008A4F62" w:rsidRPr="00AA7D84" w:rsidRDefault="00712193" w:rsidP="009748A1">
      <w:pPr>
        <w:ind w:right="95"/>
        <w:jc w:val="both"/>
        <w:rPr>
          <w:rFonts w:ascii="Times New Roman" w:hAnsi="Times New Roman" w:cs="Times New Roman"/>
          <w:sz w:val="24"/>
          <w:szCs w:val="24"/>
        </w:rPr>
      </w:pPr>
      <w:r w:rsidRPr="00AA7D84">
        <w:rPr>
          <w:rFonts w:ascii="Times New Roman" w:eastAsia="Calibri" w:hAnsi="Times New Roman" w:cs="Times New Roman"/>
          <w:sz w:val="24"/>
          <w:szCs w:val="24"/>
          <w:lang w:val="en-US"/>
        </w:rPr>
        <w:t xml:space="preserve">The study population comprised rented residential buildings in thirteen (13) selected areas </w:t>
      </w:r>
      <w:r w:rsidRPr="00AA7D84">
        <w:rPr>
          <w:rFonts w:ascii="Times New Roman" w:hAnsi="Times New Roman" w:cs="Times New Roman"/>
          <w:sz w:val="24"/>
          <w:szCs w:val="24"/>
        </w:rPr>
        <w:t xml:space="preserve">in </w:t>
      </w:r>
      <w:proofErr w:type="spellStart"/>
      <w:r w:rsidRPr="00AA7D84">
        <w:rPr>
          <w:rFonts w:ascii="Times New Roman" w:hAnsi="Times New Roman" w:cs="Times New Roman"/>
          <w:sz w:val="24"/>
          <w:szCs w:val="24"/>
        </w:rPr>
        <w:t>Minna</w:t>
      </w:r>
      <w:proofErr w:type="spellEnd"/>
      <w:r w:rsidRPr="00AA7D84">
        <w:rPr>
          <w:rFonts w:ascii="Times New Roman" w:hAnsi="Times New Roman" w:cs="Times New Roman"/>
          <w:sz w:val="24"/>
          <w:szCs w:val="24"/>
        </w:rPr>
        <w:t xml:space="preserve"> Metropolis</w:t>
      </w:r>
      <w:r w:rsidR="009748A1">
        <w:rPr>
          <w:rFonts w:ascii="Times New Roman" w:hAnsi="Times New Roman" w:cs="Times New Roman"/>
          <w:sz w:val="24"/>
          <w:szCs w:val="24"/>
        </w:rPr>
        <w:t xml:space="preserve">. </w:t>
      </w:r>
      <w:r w:rsidR="008A4F62" w:rsidRPr="00AA7D84">
        <w:rPr>
          <w:rFonts w:ascii="Times New Roman" w:hAnsi="Times New Roman" w:cs="Times New Roman"/>
          <w:sz w:val="24"/>
          <w:szCs w:val="24"/>
        </w:rPr>
        <w:t xml:space="preserve">This research adopted </w:t>
      </w:r>
      <w:r w:rsidR="008A4F62" w:rsidRPr="00AA7D84">
        <w:rPr>
          <w:rFonts w:ascii="Times New Roman" w:hAnsi="Times New Roman" w:cs="Times New Roman"/>
          <w:i/>
          <w:sz w:val="24"/>
          <w:szCs w:val="24"/>
          <w:u w:val="single"/>
        </w:rPr>
        <w:t>+</w:t>
      </w:r>
      <w:r w:rsidR="008A4F62" w:rsidRPr="00AA7D84">
        <w:rPr>
          <w:rFonts w:ascii="Times New Roman" w:hAnsi="Times New Roman" w:cs="Times New Roman"/>
          <w:sz w:val="24"/>
          <w:szCs w:val="24"/>
        </w:rPr>
        <w:t xml:space="preserve"> 10% precision (margin of error), confidence level of 90%</w:t>
      </w:r>
      <w:r w:rsidR="008A4F62">
        <w:rPr>
          <w:rFonts w:ascii="Times New Roman" w:hAnsi="Times New Roman" w:cs="Times New Roman"/>
          <w:sz w:val="24"/>
          <w:szCs w:val="24"/>
        </w:rPr>
        <w:t xml:space="preserve">, and sampled </w:t>
      </w:r>
      <w:r w:rsidR="008A4F62">
        <w:rPr>
          <w:rFonts w:ascii="Times New Roman" w:eastAsia="Times New Roman" w:hAnsi="Times New Roman" w:cs="Times New Roman"/>
          <w:sz w:val="24"/>
          <w:szCs w:val="24"/>
          <w:lang w:val="en-US"/>
        </w:rPr>
        <w:t>a</w:t>
      </w:r>
      <w:r w:rsidR="008A4F62" w:rsidRPr="004734C1">
        <w:rPr>
          <w:rFonts w:ascii="Times New Roman" w:eastAsia="Calibri" w:hAnsi="Times New Roman" w:cs="Times New Roman"/>
          <w:sz w:val="24"/>
          <w:szCs w:val="24"/>
        </w:rPr>
        <w:t xml:space="preserve"> total of 1,134 housing units </w:t>
      </w:r>
      <w:r w:rsidR="008A4F62">
        <w:rPr>
          <w:rFonts w:ascii="Times New Roman" w:eastAsia="Calibri" w:hAnsi="Times New Roman" w:cs="Times New Roman"/>
          <w:sz w:val="24"/>
          <w:szCs w:val="24"/>
        </w:rPr>
        <w:t xml:space="preserve">by stratified and random selection. </w:t>
      </w:r>
      <w:r w:rsidR="008A4F62" w:rsidRPr="004734C1">
        <w:rPr>
          <w:rFonts w:ascii="Times New Roman" w:eastAsia="Calibri" w:hAnsi="Times New Roman" w:cs="Times New Roman"/>
          <w:sz w:val="24"/>
          <w:szCs w:val="24"/>
        </w:rPr>
        <w:t xml:space="preserve">The data used were generated through </w:t>
      </w:r>
      <w:r w:rsidR="008A4F62" w:rsidRPr="004734C1">
        <w:rPr>
          <w:rFonts w:ascii="Times New Roman" w:eastAsia="Calibri" w:hAnsi="Times New Roman" w:cs="Times New Roman"/>
          <w:sz w:val="24"/>
          <w:szCs w:val="24"/>
          <w:lang w:val="en-US"/>
        </w:rPr>
        <w:t>questionnaire</w:t>
      </w:r>
      <w:r w:rsidR="008A4F62">
        <w:rPr>
          <w:rFonts w:ascii="Times New Roman" w:eastAsia="Calibri" w:hAnsi="Times New Roman" w:cs="Times New Roman"/>
          <w:sz w:val="24"/>
          <w:szCs w:val="24"/>
          <w:lang w:val="en-US"/>
        </w:rPr>
        <w:t>.</w:t>
      </w:r>
    </w:p>
    <w:p w:rsidR="00077613" w:rsidRPr="00AA7D84" w:rsidRDefault="001B14F8" w:rsidP="00077613">
      <w:pPr>
        <w:tabs>
          <w:tab w:val="left" w:pos="567"/>
        </w:tabs>
        <w:ind w:right="95"/>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Due to the unorganized and informal nature of the sampled neighbourhoods, proximities to nine housing attributes were measured on ordinal scales the and categorised as ‘far’, ‘fair’ and ‘very close’ based on consensus opinions of residents in the sampled neighbourhoods. The study focused on two predominant low income house types in the study area. These are multi-tenanted roomy apartments otherwise known as tenement buildings, and one bedroom </w:t>
      </w:r>
      <w:r w:rsidR="00A9537D">
        <w:rPr>
          <w:rFonts w:ascii="Times New Roman" w:hAnsi="Times New Roman" w:cs="Times New Roman"/>
          <w:sz w:val="24"/>
          <w:szCs w:val="24"/>
        </w:rPr>
        <w:t>apartment which are locally referred to as ‘self-contain’</w:t>
      </w:r>
      <w:r>
        <w:rPr>
          <w:rFonts w:ascii="Times New Roman" w:hAnsi="Times New Roman" w:cs="Times New Roman"/>
          <w:sz w:val="24"/>
          <w:szCs w:val="24"/>
        </w:rPr>
        <w:t xml:space="preserve">. </w:t>
      </w:r>
      <w:r w:rsidR="00077613" w:rsidRPr="00AA7D84">
        <w:rPr>
          <w:rFonts w:ascii="Times New Roman" w:hAnsi="Times New Roman" w:cs="Times New Roman"/>
          <w:sz w:val="24"/>
          <w:szCs w:val="24"/>
        </w:rPr>
        <w:t xml:space="preserve">In order to establish the impacts of </w:t>
      </w:r>
      <w:r w:rsidR="00077613">
        <w:rPr>
          <w:rFonts w:ascii="Times New Roman" w:hAnsi="Times New Roman" w:cs="Times New Roman"/>
          <w:sz w:val="24"/>
          <w:szCs w:val="24"/>
        </w:rPr>
        <w:t xml:space="preserve">amenities </w:t>
      </w:r>
      <w:r w:rsidR="00077613" w:rsidRPr="00AA7D84">
        <w:rPr>
          <w:rFonts w:ascii="Times New Roman" w:hAnsi="Times New Roman" w:cs="Times New Roman"/>
          <w:sz w:val="24"/>
          <w:szCs w:val="24"/>
        </w:rPr>
        <w:t xml:space="preserve">on the rental values of residential </w:t>
      </w:r>
      <w:r w:rsidR="00077613">
        <w:rPr>
          <w:rFonts w:ascii="Times New Roman" w:hAnsi="Times New Roman" w:cs="Times New Roman"/>
          <w:sz w:val="24"/>
          <w:szCs w:val="24"/>
        </w:rPr>
        <w:t xml:space="preserve">buildings </w:t>
      </w:r>
      <w:r w:rsidR="00077613" w:rsidRPr="00AA7D84">
        <w:rPr>
          <w:rFonts w:ascii="Times New Roman" w:hAnsi="Times New Roman" w:cs="Times New Roman"/>
          <w:sz w:val="24"/>
          <w:szCs w:val="24"/>
        </w:rPr>
        <w:t xml:space="preserve">in the study area, this research utilized the optimally scaled categorical regression analysis. This analytical tool was adopted due to the nature of the data which entailed a dependent variable measured on ratio scale, an independent variable also measured on ratio scale, and another eight independent variables measured on ordinal scales. </w:t>
      </w:r>
      <w:r w:rsidR="00077613">
        <w:rPr>
          <w:rFonts w:ascii="Times New Roman" w:hAnsi="Times New Roman" w:cs="Times New Roman"/>
          <w:sz w:val="24"/>
          <w:szCs w:val="24"/>
        </w:rPr>
        <w:t>T</w:t>
      </w:r>
      <w:r w:rsidR="00077613" w:rsidRPr="00AA7D84">
        <w:rPr>
          <w:rFonts w:ascii="Times New Roman" w:hAnsi="Times New Roman" w:cs="Times New Roman"/>
          <w:sz w:val="24"/>
          <w:szCs w:val="24"/>
        </w:rPr>
        <w:t xml:space="preserve">he dependent variable is rental values of residential buildings (in Naira), while the predictors/independent variables are </w:t>
      </w:r>
      <w:r w:rsidR="00077613">
        <w:rPr>
          <w:rFonts w:ascii="Times New Roman" w:hAnsi="Times New Roman" w:cs="Times New Roman"/>
          <w:sz w:val="24"/>
          <w:szCs w:val="24"/>
        </w:rPr>
        <w:t xml:space="preserve">amenities </w:t>
      </w:r>
      <w:r w:rsidR="00077613" w:rsidRPr="00AA7D84">
        <w:rPr>
          <w:rFonts w:ascii="Times New Roman" w:hAnsi="Times New Roman" w:cs="Times New Roman"/>
          <w:sz w:val="24"/>
          <w:szCs w:val="24"/>
        </w:rPr>
        <w:t>which entail</w:t>
      </w:r>
      <w:r w:rsidR="00077613">
        <w:rPr>
          <w:rFonts w:ascii="Times New Roman" w:hAnsi="Times New Roman" w:cs="Times New Roman"/>
          <w:sz w:val="24"/>
          <w:szCs w:val="24"/>
        </w:rPr>
        <w:t>ed</w:t>
      </w:r>
      <w:r w:rsidR="00077613" w:rsidRPr="00AA7D84">
        <w:rPr>
          <w:rFonts w:ascii="Times New Roman" w:hAnsi="Times New Roman" w:cs="Times New Roman"/>
          <w:sz w:val="24"/>
          <w:szCs w:val="24"/>
        </w:rPr>
        <w:t xml:space="preserve">  the  </w:t>
      </w:r>
      <w:r w:rsidR="00077613" w:rsidRPr="00AA7D84">
        <w:rPr>
          <w:rFonts w:ascii="Times New Roman" w:hAnsi="Times New Roman" w:cs="Times New Roman"/>
          <w:color w:val="000000"/>
          <w:sz w:val="24"/>
          <w:szCs w:val="24"/>
        </w:rPr>
        <w:t xml:space="preserve">proximity of the residential buildings to shopping complexes, educational institutions, health care </w:t>
      </w:r>
      <w:proofErr w:type="spellStart"/>
      <w:r w:rsidR="00077613" w:rsidRPr="00AA7D84">
        <w:rPr>
          <w:rFonts w:ascii="Times New Roman" w:hAnsi="Times New Roman" w:cs="Times New Roman"/>
          <w:color w:val="000000"/>
          <w:sz w:val="24"/>
          <w:szCs w:val="24"/>
        </w:rPr>
        <w:t>centers</w:t>
      </w:r>
      <w:proofErr w:type="spellEnd"/>
      <w:r w:rsidR="00077613" w:rsidRPr="00AA7D84">
        <w:rPr>
          <w:rFonts w:ascii="Times New Roman" w:hAnsi="Times New Roman" w:cs="Times New Roman"/>
          <w:color w:val="000000"/>
          <w:sz w:val="24"/>
          <w:szCs w:val="24"/>
        </w:rPr>
        <w:t xml:space="preserve">, recreation </w:t>
      </w:r>
      <w:proofErr w:type="spellStart"/>
      <w:r w:rsidR="00077613" w:rsidRPr="00AA7D84">
        <w:rPr>
          <w:rFonts w:ascii="Times New Roman" w:hAnsi="Times New Roman" w:cs="Times New Roman"/>
          <w:color w:val="000000"/>
          <w:sz w:val="24"/>
          <w:szCs w:val="24"/>
        </w:rPr>
        <w:t>centers</w:t>
      </w:r>
      <w:proofErr w:type="spellEnd"/>
      <w:r w:rsidR="00077613" w:rsidRPr="00AA7D84">
        <w:rPr>
          <w:rFonts w:ascii="Times New Roman" w:hAnsi="Times New Roman" w:cs="Times New Roman"/>
          <w:color w:val="000000"/>
          <w:sz w:val="24"/>
          <w:szCs w:val="24"/>
        </w:rPr>
        <w:t xml:space="preserve">, major roads, and refuse dumps. Others are: the level of security of the neighbourhood (measured in terms of reported crime cases in each area), electricity supply (number of hours of supply per day), and sources of water supply. </w:t>
      </w:r>
    </w:p>
    <w:p w:rsidR="001B14F8" w:rsidRPr="00AA7D84" w:rsidRDefault="001B14F8" w:rsidP="00077613">
      <w:pPr>
        <w:spacing w:after="0"/>
        <w:ind w:right="95"/>
        <w:jc w:val="both"/>
        <w:rPr>
          <w:rFonts w:ascii="Times New Roman" w:hAnsi="Times New Roman" w:cs="Times New Roman"/>
          <w:b/>
          <w:sz w:val="24"/>
          <w:szCs w:val="24"/>
        </w:rPr>
      </w:pPr>
      <w:r w:rsidRPr="00AA7D84">
        <w:rPr>
          <w:rFonts w:ascii="Times New Roman" w:hAnsi="Times New Roman" w:cs="Times New Roman"/>
          <w:b/>
          <w:sz w:val="24"/>
          <w:szCs w:val="24"/>
        </w:rPr>
        <w:t>The CATREG model</w:t>
      </w:r>
    </w:p>
    <w:p w:rsidR="001B14F8" w:rsidRPr="00AA7D84" w:rsidRDefault="001B14F8" w:rsidP="00077613">
      <w:pPr>
        <w:ind w:right="95"/>
        <w:jc w:val="both"/>
        <w:rPr>
          <w:rFonts w:ascii="Times New Roman" w:hAnsi="Times New Roman" w:cs="Times New Roman"/>
          <w:sz w:val="24"/>
          <w:szCs w:val="24"/>
        </w:rPr>
      </w:pPr>
      <w:r w:rsidRPr="00AA7D84">
        <w:rPr>
          <w:rFonts w:ascii="Times New Roman" w:hAnsi="Times New Roman" w:cs="Times New Roman"/>
          <w:sz w:val="24"/>
          <w:szCs w:val="24"/>
        </w:rPr>
        <w:t>The CATREG model ﬁts the classical linear regression model with nonlinear transformations of the variables, and it is written as:</w:t>
      </w:r>
    </w:p>
    <w:p w:rsidR="001B14F8" w:rsidRPr="00AA7D84" w:rsidRDefault="001B14F8" w:rsidP="00077613">
      <w:pPr>
        <w:ind w:right="95" w:firstLine="720"/>
        <w:jc w:val="both"/>
        <w:rPr>
          <w:rFonts w:ascii="Cambria Math" w:eastAsiaTheme="minorEastAsia" w:hAnsi="Cambria Math" w:cs="Times New Roman"/>
          <w:sz w:val="28"/>
          <w:szCs w:val="28"/>
        </w:rPr>
      </w:pPr>
      <w:proofErr w:type="spellStart"/>
      <w:proofErr w:type="gramStart"/>
      <w:r w:rsidRPr="00AA7D84">
        <w:rPr>
          <w:rFonts w:ascii="Cambria Math" w:hAnsi="Cambria Math" w:cs="Times New Roman"/>
          <w:sz w:val="32"/>
          <w:szCs w:val="32"/>
        </w:rPr>
        <w:t>φ</w:t>
      </w:r>
      <w:r w:rsidRPr="00AA7D84">
        <w:rPr>
          <w:rFonts w:ascii="Cambria Math" w:hAnsi="Cambria Math" w:cs="Times New Roman"/>
          <w:sz w:val="32"/>
          <w:szCs w:val="32"/>
          <w:vertAlign w:val="subscript"/>
        </w:rPr>
        <w:t>r</w:t>
      </w:r>
      <w:proofErr w:type="spellEnd"/>
      <w:proofErr w:type="gramEnd"/>
      <w:r w:rsidRPr="00AA7D84">
        <w:rPr>
          <w:rFonts w:ascii="Cambria Math" w:hAnsi="Cambria Math" w:cs="Times New Roman"/>
          <w:sz w:val="32"/>
          <w:szCs w:val="32"/>
          <w:vertAlign w:val="subscript"/>
        </w:rPr>
        <w:t xml:space="preserve"> (y) = </w:t>
      </w:r>
      <m:oMath>
        <m:nary>
          <m:naryPr>
            <m:chr m:val="∑"/>
            <m:limLoc m:val="undOvr"/>
            <m:ctrlPr>
              <w:rPr>
                <w:rFonts w:ascii="Cambria Math" w:hAnsi="Cambria Math" w:cs="Times New Roman"/>
                <w:i/>
                <w:sz w:val="28"/>
                <w:szCs w:val="28"/>
                <w:vertAlign w:val="subscript"/>
              </w:rPr>
            </m:ctrlPr>
          </m:naryPr>
          <m:sub>
            <m:r>
              <w:rPr>
                <w:rFonts w:ascii="Cambria Math" w:hAnsi="Cambria Math" w:cs="Times New Roman"/>
                <w:sz w:val="28"/>
                <w:szCs w:val="28"/>
                <w:vertAlign w:val="subscript"/>
              </w:rPr>
              <m:t>j=1</m:t>
            </m:r>
          </m:sub>
          <m:sup>
            <m:r>
              <w:rPr>
                <w:rFonts w:ascii="Cambria Math" w:hAnsi="Cambria Math" w:cs="Times New Roman"/>
                <w:sz w:val="28"/>
                <w:szCs w:val="28"/>
                <w:vertAlign w:val="subscript"/>
              </w:rPr>
              <m:t>J</m:t>
            </m:r>
          </m:sup>
          <m:e>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β</m:t>
                </m:r>
              </m:e>
              <m:sub>
                <m:r>
                  <w:rPr>
                    <w:rFonts w:ascii="Cambria Math" w:hAnsi="Cambria Math" w:cs="Times New Roman"/>
                    <w:sz w:val="28"/>
                    <w:szCs w:val="28"/>
                    <w:vertAlign w:val="subscript"/>
                  </w:rPr>
                  <m:t>j</m:t>
                </m:r>
              </m:sub>
            </m:sSub>
            <m:r>
              <w:rPr>
                <w:rFonts w:ascii="Cambria Math" w:hAnsi="Cambria Math" w:cs="Times New Roman"/>
                <w:sz w:val="28"/>
                <w:szCs w:val="28"/>
                <w:vertAlign w:val="subscript"/>
              </w:rPr>
              <m:t xml:space="preserve"> </m:t>
            </m:r>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r>
              <w:rPr>
                <w:rFonts w:ascii="Cambria Math" w:hAnsi="Cambria Math" w:cs="Times New Roman"/>
                <w:sz w:val="28"/>
                <w:szCs w:val="28"/>
                <w:vertAlign w:val="subscript"/>
              </w:rPr>
              <m:t xml:space="preserve"> </m:t>
            </m:r>
            <m:d>
              <m:dPr>
                <m:ctrlPr>
                  <w:rPr>
                    <w:rFonts w:ascii="Cambria Math" w:hAnsi="Cambria Math" w:cs="Times New Roman"/>
                    <w:i/>
                    <w:sz w:val="28"/>
                    <w:szCs w:val="28"/>
                    <w:vertAlign w:val="subscript"/>
                  </w:rPr>
                </m:ctrlPr>
              </m:dPr>
              <m:e>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x</m:t>
                    </m:r>
                  </m:e>
                  <m:sub>
                    <m:r>
                      <w:rPr>
                        <w:rFonts w:ascii="Cambria Math" w:hAnsi="Cambria Math" w:cs="Times New Roman"/>
                        <w:sz w:val="28"/>
                        <w:szCs w:val="28"/>
                        <w:vertAlign w:val="subscript"/>
                      </w:rPr>
                      <m:t>j</m:t>
                    </m:r>
                  </m:sub>
                </m:sSub>
              </m:e>
            </m:d>
            <m:r>
              <w:rPr>
                <w:rFonts w:ascii="Cambria Math" w:hAnsi="Cambria Math" w:cs="Times New Roman"/>
                <w:sz w:val="28"/>
                <w:szCs w:val="28"/>
                <w:vertAlign w:val="subscript"/>
              </w:rPr>
              <m:t>+e</m:t>
            </m:r>
          </m:e>
        </m:nary>
      </m:oMath>
      <w:r w:rsidRPr="00AA7D84">
        <w:rPr>
          <w:rFonts w:ascii="Cambria Math" w:eastAsiaTheme="minorEastAsia" w:hAnsi="Cambria Math" w:cs="Times New Roman"/>
          <w:sz w:val="28"/>
          <w:szCs w:val="28"/>
          <w:vertAlign w:val="subscript"/>
        </w:rPr>
        <w:t xml:space="preserve"> </w:t>
      </w:r>
      <w:r w:rsidRPr="00AA7D84">
        <w:rPr>
          <w:rFonts w:ascii="Times New Roman" w:eastAsiaTheme="minorEastAsia" w:hAnsi="Times New Roman" w:cs="Times New Roman"/>
          <w:sz w:val="24"/>
          <w:szCs w:val="24"/>
        </w:rPr>
        <w:t>………………………… (</w:t>
      </w:r>
      <w:r w:rsidR="009748A1">
        <w:rPr>
          <w:rFonts w:ascii="Times New Roman" w:eastAsiaTheme="minorEastAsia" w:hAnsi="Times New Roman" w:cs="Times New Roman"/>
          <w:sz w:val="24"/>
          <w:szCs w:val="24"/>
        </w:rPr>
        <w:t>2</w:t>
      </w:r>
      <w:r w:rsidRPr="00AA7D84">
        <w:rPr>
          <w:rFonts w:ascii="Times New Roman" w:eastAsiaTheme="minorEastAsia" w:hAnsi="Times New Roman" w:cs="Times New Roman"/>
          <w:sz w:val="24"/>
          <w:szCs w:val="24"/>
        </w:rPr>
        <w:t>)</w:t>
      </w:r>
    </w:p>
    <w:p w:rsidR="001B14F8" w:rsidRPr="00AA7D84" w:rsidRDefault="001B14F8" w:rsidP="00077613">
      <w:pPr>
        <w:ind w:right="95"/>
        <w:jc w:val="both"/>
        <w:rPr>
          <w:rFonts w:ascii="Times New Roman" w:eastAsiaTheme="minorEastAsia" w:hAnsi="Times New Roman" w:cs="Times New Roman"/>
          <w:sz w:val="24"/>
          <w:szCs w:val="24"/>
        </w:rPr>
      </w:pPr>
      <w:proofErr w:type="gramStart"/>
      <w:r w:rsidRPr="00AA7D84">
        <w:rPr>
          <w:rFonts w:ascii="Times New Roman" w:eastAsiaTheme="minorEastAsia" w:hAnsi="Times New Roman" w:cs="Times New Roman"/>
          <w:sz w:val="24"/>
          <w:szCs w:val="24"/>
        </w:rPr>
        <w:t>by</w:t>
      </w:r>
      <w:proofErr w:type="gramEnd"/>
      <w:r w:rsidRPr="00AA7D84">
        <w:rPr>
          <w:rFonts w:ascii="Times New Roman" w:eastAsiaTheme="minorEastAsia" w:hAnsi="Times New Roman" w:cs="Times New Roman"/>
          <w:sz w:val="24"/>
          <w:szCs w:val="24"/>
        </w:rPr>
        <w:t xml:space="preserve"> minimizing the least squares loss function</w:t>
      </w:r>
    </w:p>
    <w:p w:rsidR="001B14F8" w:rsidRPr="00AA7D84" w:rsidRDefault="001B14F8" w:rsidP="00077613">
      <w:pPr>
        <w:ind w:left="720" w:right="95"/>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L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 xml:space="preserve">1 </m:t>
            </m:r>
          </m:sup>
        </m:s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J</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j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 xml:space="preserve">j </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xml:space="preserve">‖ </m:t>
            </m:r>
          </m:e>
        </m:nary>
      </m:oMath>
      <w:r w:rsidRPr="00AA7D84">
        <w:rPr>
          <w:rFonts w:ascii="Times New Roman" w:eastAsiaTheme="minorEastAsia" w:hAnsi="Times New Roman" w:cs="Times New Roman"/>
          <w:sz w:val="24"/>
          <w:szCs w:val="24"/>
          <w:vertAlign w:val="superscript"/>
        </w:rPr>
        <w:t>2</w:t>
      </w:r>
      <w:r w:rsidRPr="00AA7D84">
        <w:rPr>
          <w:rFonts w:ascii="Times New Roman" w:eastAsiaTheme="minorEastAsia" w:hAnsi="Times New Roman" w:cs="Times New Roman"/>
          <w:sz w:val="24"/>
          <w:szCs w:val="24"/>
        </w:rPr>
        <w:t xml:space="preserve"> ……………</w:t>
      </w:r>
      <w:proofErr w:type="gramStart"/>
      <w:r w:rsidRPr="00AA7D84">
        <w:rPr>
          <w:rFonts w:ascii="Times New Roman" w:eastAsiaTheme="minorEastAsia" w:hAnsi="Times New Roman" w:cs="Times New Roman"/>
          <w:sz w:val="24"/>
          <w:szCs w:val="24"/>
        </w:rPr>
        <w:t>.(</w:t>
      </w:r>
      <w:proofErr w:type="gramEnd"/>
      <w:r w:rsidR="009748A1">
        <w:rPr>
          <w:rFonts w:ascii="Times New Roman" w:eastAsiaTheme="minorEastAsia" w:hAnsi="Times New Roman" w:cs="Times New Roman"/>
          <w:sz w:val="24"/>
          <w:szCs w:val="24"/>
        </w:rPr>
        <w:t>3</w:t>
      </w:r>
      <w:r w:rsidRPr="00AA7D84">
        <w:rPr>
          <w:rFonts w:ascii="Times New Roman" w:eastAsiaTheme="minorEastAsia" w:hAnsi="Times New Roman" w:cs="Times New Roman"/>
          <w:sz w:val="24"/>
          <w:szCs w:val="24"/>
        </w:rPr>
        <w:t>)</w:t>
      </w:r>
    </w:p>
    <w:p w:rsidR="001B14F8" w:rsidRPr="00AA7D84" w:rsidRDefault="001B14F8" w:rsidP="00077613">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Where N = the number of observations, </w:t>
      </w:r>
    </w:p>
    <w:p w:rsidR="001B14F8" w:rsidRPr="00AA7D84" w:rsidRDefault="001B14F8" w:rsidP="00077613">
      <w:pPr>
        <w:ind w:right="95" w:firstLine="720"/>
        <w:jc w:val="both"/>
        <w:rPr>
          <w:rFonts w:ascii="Times New Roman" w:hAnsi="Times New Roman" w:cs="Times New Roman"/>
          <w:sz w:val="24"/>
          <w:szCs w:val="24"/>
        </w:rPr>
      </w:pPr>
      <w:r w:rsidRPr="00AA7D84">
        <w:rPr>
          <w:rFonts w:ascii="Times New Roman" w:hAnsi="Times New Roman" w:cs="Times New Roman"/>
          <w:sz w:val="24"/>
          <w:szCs w:val="24"/>
        </w:rPr>
        <w:t xml:space="preserve">J = the number of predictor variables, </w:t>
      </w:r>
    </w:p>
    <w:p w:rsidR="001B14F8" w:rsidRPr="00AA7D84" w:rsidRDefault="001B14F8" w:rsidP="00077613">
      <w:pPr>
        <w:ind w:right="95" w:firstLine="720"/>
        <w:jc w:val="both"/>
        <w:rPr>
          <w:rFonts w:ascii="Times New Roman" w:hAnsi="Times New Roman" w:cs="Times New Roman"/>
          <w:sz w:val="24"/>
          <w:szCs w:val="24"/>
        </w:rPr>
      </w:pPr>
      <w:r w:rsidRPr="00AA7D84">
        <w:rPr>
          <w:rFonts w:ascii="Times New Roman" w:hAnsi="Times New Roman" w:cs="Times New Roman"/>
          <w:sz w:val="24"/>
          <w:szCs w:val="24"/>
        </w:rPr>
        <w:t>{</w:t>
      </w:r>
      <w:proofErr w:type="gramStart"/>
      <w:r w:rsidRPr="00AA7D84">
        <w:rPr>
          <w:rFonts w:ascii="Times New Roman" w:hAnsi="Times New Roman" w:cs="Times New Roman"/>
          <w:sz w:val="24"/>
          <w:szCs w:val="24"/>
        </w:rPr>
        <w:t>βj</w:t>
      </w:r>
      <w:proofErr w:type="gramEnd"/>
      <w:r w:rsidRPr="00AA7D84">
        <w:rPr>
          <w:rFonts w:ascii="Times New Roman" w:hAnsi="Times New Roman" w:cs="Times New Roman"/>
          <w:sz w:val="24"/>
          <w:szCs w:val="24"/>
        </w:rPr>
        <w:t>}, j =1,...,J = the regression coe</w:t>
      </w:r>
      <w:r w:rsidRPr="00AA7D84">
        <w:rPr>
          <w:rFonts w:ascii="Cambria Math" w:hAnsi="Cambria Math" w:cs="Cambria Math"/>
          <w:sz w:val="24"/>
          <w:szCs w:val="24"/>
        </w:rPr>
        <w:t>ﬃ</w:t>
      </w:r>
      <w:r w:rsidRPr="00AA7D84">
        <w:rPr>
          <w:rFonts w:ascii="Times New Roman" w:hAnsi="Times New Roman" w:cs="Times New Roman"/>
          <w:sz w:val="24"/>
          <w:szCs w:val="24"/>
        </w:rPr>
        <w:t xml:space="preserve">cients, </w:t>
      </w:r>
    </w:p>
    <w:p w:rsidR="001B14F8" w:rsidRPr="00AA7D84" w:rsidRDefault="001B14F8" w:rsidP="00077613">
      <w:pPr>
        <w:ind w:right="95" w:firstLine="720"/>
        <w:jc w:val="both"/>
        <w:rPr>
          <w:rFonts w:ascii="Times New Roman" w:hAnsi="Times New Roman" w:cs="Times New Roman"/>
          <w:sz w:val="24"/>
          <w:szCs w:val="24"/>
        </w:rPr>
      </w:pPr>
      <w:proofErr w:type="spellStart"/>
      <w:proofErr w:type="gramStart"/>
      <w:r w:rsidRPr="00AA7D84">
        <w:rPr>
          <w:rFonts w:ascii="Times New Roman" w:hAnsi="Times New Roman" w:cs="Times New Roman"/>
          <w:sz w:val="24"/>
          <w:szCs w:val="24"/>
        </w:rPr>
        <w:t>φ</w:t>
      </w:r>
      <w:r w:rsidRPr="00AA7D84">
        <w:rPr>
          <w:rFonts w:ascii="Times New Roman" w:hAnsi="Times New Roman" w:cs="Times New Roman"/>
          <w:sz w:val="24"/>
          <w:szCs w:val="24"/>
          <w:vertAlign w:val="subscript"/>
        </w:rPr>
        <w:t>r</w:t>
      </w:r>
      <w:proofErr w:type="spellEnd"/>
      <w:proofErr w:type="gramEnd"/>
      <w:r w:rsidRPr="00AA7D84">
        <w:rPr>
          <w:rFonts w:ascii="Times New Roman" w:hAnsi="Times New Roman" w:cs="Times New Roman"/>
          <w:sz w:val="24"/>
          <w:szCs w:val="24"/>
        </w:rPr>
        <w:t xml:space="preserve"> (y) = the transformation for the response variable y, </w:t>
      </w:r>
    </w:p>
    <w:p w:rsidR="001B14F8" w:rsidRPr="00AA7D84" w:rsidRDefault="001B14F8" w:rsidP="00077613">
      <w:pPr>
        <w:ind w:right="95" w:firstLine="720"/>
        <w:jc w:val="both"/>
        <w:rPr>
          <w:rFonts w:ascii="Times New Roman" w:hAnsi="Times New Roman" w:cs="Times New Roman"/>
          <w:sz w:val="24"/>
          <w:szCs w:val="24"/>
        </w:rPr>
      </w:pPr>
      <w:proofErr w:type="spellStart"/>
      <w:proofErr w:type="gramStart"/>
      <w:r w:rsidRPr="00AA7D84">
        <w:rPr>
          <w:rFonts w:ascii="Times New Roman" w:hAnsi="Times New Roman" w:cs="Times New Roman"/>
          <w:sz w:val="24"/>
          <w:szCs w:val="24"/>
        </w:rPr>
        <w:t>φ</w:t>
      </w:r>
      <w:r w:rsidRPr="00AA7D84">
        <w:rPr>
          <w:rFonts w:ascii="Times New Roman" w:hAnsi="Times New Roman" w:cs="Times New Roman"/>
          <w:sz w:val="24"/>
          <w:szCs w:val="24"/>
          <w:vertAlign w:val="subscript"/>
        </w:rPr>
        <w:t>j</w:t>
      </w:r>
      <w:proofErr w:type="spellEnd"/>
      <w:proofErr w:type="gramEnd"/>
      <w:r w:rsidRPr="00AA7D84">
        <w:rPr>
          <w:rFonts w:ascii="Times New Roman" w:hAnsi="Times New Roman" w:cs="Times New Roman"/>
          <w:sz w:val="24"/>
          <w:szCs w:val="24"/>
          <w:vertAlign w:val="subscript"/>
        </w:rPr>
        <w:t xml:space="preserve"> </w:t>
      </w:r>
      <w:r w:rsidRPr="00AA7D84">
        <w:rPr>
          <w:rFonts w:ascii="Times New Roman" w:hAnsi="Times New Roman" w:cs="Times New Roman"/>
          <w:sz w:val="24"/>
          <w:szCs w:val="24"/>
        </w:rPr>
        <w:t>(</w:t>
      </w:r>
      <w:proofErr w:type="spellStart"/>
      <w:r w:rsidRPr="00AA7D84">
        <w:rPr>
          <w:rFonts w:ascii="Times New Roman" w:hAnsi="Times New Roman" w:cs="Times New Roman"/>
          <w:sz w:val="24"/>
          <w:szCs w:val="24"/>
        </w:rPr>
        <w:t>x</w:t>
      </w:r>
      <w:r w:rsidRPr="00AA7D84">
        <w:rPr>
          <w:rFonts w:ascii="Times New Roman" w:hAnsi="Times New Roman" w:cs="Times New Roman"/>
          <w:sz w:val="24"/>
          <w:szCs w:val="24"/>
          <w:vertAlign w:val="subscript"/>
        </w:rPr>
        <w:t>j</w:t>
      </w:r>
      <w:proofErr w:type="spellEnd"/>
      <w:r w:rsidRPr="00AA7D84">
        <w:rPr>
          <w:rFonts w:ascii="Times New Roman" w:hAnsi="Times New Roman" w:cs="Times New Roman"/>
          <w:sz w:val="24"/>
          <w:szCs w:val="24"/>
        </w:rPr>
        <w:t>) = the transformations for predictor variables {</w:t>
      </w:r>
      <w:proofErr w:type="spellStart"/>
      <w:r w:rsidRPr="00AA7D84">
        <w:rPr>
          <w:rFonts w:ascii="Times New Roman" w:hAnsi="Times New Roman" w:cs="Times New Roman"/>
          <w:sz w:val="24"/>
          <w:szCs w:val="24"/>
        </w:rPr>
        <w:t>x</w:t>
      </w:r>
      <w:r w:rsidRPr="00AA7D84">
        <w:rPr>
          <w:rFonts w:ascii="Times New Roman" w:hAnsi="Times New Roman" w:cs="Times New Roman"/>
          <w:sz w:val="24"/>
          <w:szCs w:val="24"/>
          <w:vertAlign w:val="subscript"/>
        </w:rPr>
        <w:t>j</w:t>
      </w:r>
      <w:proofErr w:type="spellEnd"/>
      <w:r w:rsidRPr="00AA7D84">
        <w:rPr>
          <w:rFonts w:ascii="Times New Roman" w:hAnsi="Times New Roman" w:cs="Times New Roman"/>
          <w:sz w:val="24"/>
          <w:szCs w:val="24"/>
        </w:rPr>
        <w:t xml:space="preserve">}, j =1,...,J, </w:t>
      </w:r>
    </w:p>
    <w:p w:rsidR="001B14F8" w:rsidRPr="00AA7D84" w:rsidRDefault="001B14F8" w:rsidP="00077613">
      <w:pPr>
        <w:ind w:right="95" w:firstLine="720"/>
        <w:jc w:val="both"/>
        <w:rPr>
          <w:rFonts w:ascii="Times New Roman" w:hAnsi="Times New Roman" w:cs="Times New Roman"/>
          <w:sz w:val="24"/>
          <w:szCs w:val="24"/>
        </w:rPr>
      </w:pPr>
      <w:r w:rsidRPr="00AA7D84">
        <w:rPr>
          <w:rFonts w:ascii="Times New Roman" w:hAnsi="Times New Roman" w:cs="Times New Roman"/>
          <w:i/>
          <w:sz w:val="24"/>
          <w:szCs w:val="24"/>
        </w:rPr>
        <w:t>e</w:t>
      </w:r>
      <w:r w:rsidRPr="00AA7D84">
        <w:rPr>
          <w:rFonts w:ascii="Times New Roman" w:hAnsi="Times New Roman" w:cs="Times New Roman"/>
          <w:sz w:val="24"/>
          <w:szCs w:val="24"/>
        </w:rPr>
        <w:t xml:space="preserve"> = the error vector, and </w:t>
      </w:r>
    </w:p>
    <w:p w:rsidR="001B14F8" w:rsidRPr="00AA7D84" w:rsidRDefault="001B14F8" w:rsidP="00077613">
      <w:pPr>
        <w:ind w:right="95" w:firstLine="720"/>
        <w:jc w:val="both"/>
        <w:rPr>
          <w:rFonts w:ascii="Times New Roman" w:hAnsi="Times New Roman" w:cs="Times New Roman"/>
          <w:sz w:val="24"/>
          <w:szCs w:val="24"/>
        </w:rPr>
      </w:pPr>
      <w:r w:rsidRPr="00AA7D84">
        <w:rPr>
          <w:rFonts w:ascii="Times New Roman" w:hAnsi="Times New Roman" w:cs="Times New Roman"/>
          <w:sz w:val="24"/>
          <w:szCs w:val="24"/>
        </w:rPr>
        <w:t>‖ · ‖</w:t>
      </w:r>
      <w:r w:rsidRPr="00AA7D84">
        <w:rPr>
          <w:rFonts w:ascii="Times New Roman" w:hAnsi="Times New Roman" w:cs="Times New Roman"/>
          <w:sz w:val="24"/>
          <w:szCs w:val="24"/>
          <w:vertAlign w:val="superscript"/>
        </w:rPr>
        <w:t>2</w:t>
      </w:r>
      <w:r w:rsidRPr="00AA7D84">
        <w:rPr>
          <w:rFonts w:ascii="Times New Roman" w:hAnsi="Times New Roman" w:cs="Times New Roman"/>
          <w:sz w:val="24"/>
          <w:szCs w:val="24"/>
        </w:rPr>
        <w:t xml:space="preserve"> denotes the squared Euclidean norm.</w:t>
      </w:r>
    </w:p>
    <w:p w:rsidR="001B14F8" w:rsidRPr="00AA7D84" w:rsidRDefault="001B14F8" w:rsidP="00077613">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Therefore, the categorical regression equation that describes the impact of </w:t>
      </w:r>
      <w:r w:rsidR="009748A1">
        <w:rPr>
          <w:rFonts w:ascii="Times New Roman" w:hAnsi="Times New Roman" w:cs="Times New Roman"/>
          <w:sz w:val="24"/>
          <w:szCs w:val="24"/>
        </w:rPr>
        <w:t xml:space="preserve">amenities </w:t>
      </w:r>
      <w:r w:rsidRPr="00AA7D84">
        <w:rPr>
          <w:rFonts w:ascii="Times New Roman" w:hAnsi="Times New Roman" w:cs="Times New Roman"/>
          <w:sz w:val="24"/>
          <w:szCs w:val="24"/>
        </w:rPr>
        <w:t xml:space="preserve">on rental values in </w:t>
      </w:r>
      <w:proofErr w:type="spellStart"/>
      <w:r w:rsidRPr="00AA7D84">
        <w:rPr>
          <w:rFonts w:ascii="Times New Roman" w:hAnsi="Times New Roman" w:cs="Times New Roman"/>
          <w:sz w:val="24"/>
          <w:szCs w:val="24"/>
        </w:rPr>
        <w:t>Minna</w:t>
      </w:r>
      <w:proofErr w:type="spellEnd"/>
      <w:r w:rsidRPr="00AA7D84">
        <w:rPr>
          <w:rFonts w:ascii="Times New Roman" w:hAnsi="Times New Roman" w:cs="Times New Roman"/>
          <w:sz w:val="24"/>
          <w:szCs w:val="24"/>
        </w:rPr>
        <w:t xml:space="preserve"> is given as:</w:t>
      </w:r>
    </w:p>
    <w:p w:rsidR="001B14F8" w:rsidRPr="00AA7D84" w:rsidRDefault="001B14F8" w:rsidP="00077613">
      <w:pPr>
        <w:ind w:right="95" w:firstLine="720"/>
        <w:jc w:val="both"/>
        <w:rPr>
          <w:rFonts w:ascii="Times New Roman" w:eastAsiaTheme="minorEastAsia" w:hAnsi="Times New Roman" w:cs="Times New Roman"/>
          <w:sz w:val="24"/>
          <w:szCs w:val="24"/>
        </w:rPr>
      </w:pPr>
      <w:proofErr w:type="spellStart"/>
      <w:proofErr w:type="gramStart"/>
      <w:r w:rsidRPr="00AA7D84">
        <w:rPr>
          <w:rFonts w:ascii="Cambria Math" w:hAnsi="Cambria Math" w:cs="Times New Roman"/>
          <w:sz w:val="32"/>
          <w:szCs w:val="32"/>
        </w:rPr>
        <w:t>φ</w:t>
      </w:r>
      <w:r w:rsidRPr="00AA7D84">
        <w:rPr>
          <w:rFonts w:ascii="Cambria Math" w:hAnsi="Cambria Math" w:cs="Times New Roman"/>
          <w:sz w:val="32"/>
          <w:szCs w:val="32"/>
          <w:vertAlign w:val="subscript"/>
        </w:rPr>
        <w:t>r</w:t>
      </w:r>
      <w:proofErr w:type="spellEnd"/>
      <w:proofErr w:type="gramEnd"/>
      <w:r w:rsidRPr="00AA7D84">
        <w:rPr>
          <w:rFonts w:ascii="Cambria Math" w:hAnsi="Cambria Math" w:cs="Times New Roman"/>
          <w:sz w:val="32"/>
          <w:szCs w:val="32"/>
          <w:vertAlign w:val="subscript"/>
        </w:rPr>
        <w:t xml:space="preserve"> (REV) = </w:t>
      </w:r>
      <m:oMath>
        <m:nary>
          <m:naryPr>
            <m:chr m:val="∑"/>
            <m:limLoc m:val="undOvr"/>
            <m:ctrlPr>
              <w:rPr>
                <w:rFonts w:ascii="Cambria Math" w:hAnsi="Cambria Math" w:cs="Times New Roman"/>
                <w:i/>
                <w:sz w:val="28"/>
                <w:szCs w:val="28"/>
                <w:vertAlign w:val="subscript"/>
              </w:rPr>
            </m:ctrlPr>
          </m:naryPr>
          <m:sub>
            <m:r>
              <w:rPr>
                <w:rFonts w:ascii="Cambria Math" w:hAnsi="Cambria Math" w:cs="Times New Roman"/>
                <w:sz w:val="28"/>
                <w:szCs w:val="28"/>
                <w:vertAlign w:val="subscript"/>
              </w:rPr>
              <m:t>j=1</m:t>
            </m:r>
          </m:sub>
          <m:sup>
            <m:r>
              <w:rPr>
                <w:rFonts w:ascii="Cambria Math" w:hAnsi="Cambria Math" w:cs="Times New Roman"/>
                <w:sz w:val="28"/>
                <w:szCs w:val="28"/>
                <w:vertAlign w:val="subscript"/>
              </w:rPr>
              <m:t>9</m:t>
            </m:r>
          </m:sup>
          <m:e>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β</m:t>
                </m:r>
              </m:e>
              <m:sub>
                <m:r>
                  <w:rPr>
                    <w:rFonts w:ascii="Cambria Math" w:hAnsi="Cambria Math" w:cs="Times New Roman"/>
                    <w:sz w:val="28"/>
                    <w:szCs w:val="28"/>
                    <w:vertAlign w:val="subscript"/>
                  </w:rPr>
                  <m:t>j</m:t>
                </m:r>
              </m:sub>
            </m:sSub>
            <m:r>
              <w:rPr>
                <w:rFonts w:ascii="Cambria Math" w:hAnsi="Cambria Math" w:cs="Times New Roman"/>
                <w:sz w:val="28"/>
                <w:szCs w:val="28"/>
                <w:vertAlign w:val="subscript"/>
              </w:rPr>
              <m:t xml:space="preserve"> </m:t>
            </m:r>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r>
              <w:rPr>
                <w:rFonts w:ascii="Cambria Math" w:hAnsi="Cambria Math" w:cs="Times New Roman"/>
                <w:sz w:val="28"/>
                <w:szCs w:val="28"/>
                <w:vertAlign w:val="subscript"/>
              </w:rPr>
              <m:t xml:space="preserve"> </m:t>
            </m:r>
            <m:d>
              <m:dPr>
                <m:ctrlPr>
                  <w:rPr>
                    <w:rFonts w:ascii="Cambria Math" w:hAnsi="Cambria Math" w:cs="Times New Roman"/>
                    <w:i/>
                    <w:sz w:val="28"/>
                    <w:szCs w:val="28"/>
                    <w:vertAlign w:val="subscript"/>
                  </w:rPr>
                </m:ctrlPr>
              </m:dPr>
              <m:e>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x</m:t>
                    </m:r>
                  </m:e>
                  <m:sub>
                    <m:r>
                      <w:rPr>
                        <w:rFonts w:ascii="Cambria Math" w:hAnsi="Cambria Math" w:cs="Times New Roman"/>
                        <w:sz w:val="28"/>
                        <w:szCs w:val="28"/>
                        <w:vertAlign w:val="subscript"/>
                      </w:rPr>
                      <m:t>j</m:t>
                    </m:r>
                  </m:sub>
                </m:sSub>
              </m:e>
            </m:d>
            <m:r>
              <w:rPr>
                <w:rFonts w:ascii="Cambria Math" w:hAnsi="Cambria Math" w:cs="Times New Roman"/>
                <w:sz w:val="28"/>
                <w:szCs w:val="28"/>
                <w:vertAlign w:val="subscript"/>
              </w:rPr>
              <m:t>+e</m:t>
            </m:r>
          </m:e>
        </m:nary>
      </m:oMath>
      <w:r w:rsidRPr="00AA7D84">
        <w:rPr>
          <w:rFonts w:ascii="Cambria Math" w:eastAsiaTheme="minorEastAsia" w:hAnsi="Cambria Math" w:cs="Times New Roman"/>
          <w:sz w:val="28"/>
          <w:szCs w:val="28"/>
          <w:vertAlign w:val="subscript"/>
        </w:rPr>
        <w:t xml:space="preserve"> </w:t>
      </w:r>
      <w:r w:rsidRPr="00AA7D84">
        <w:rPr>
          <w:rFonts w:ascii="Times New Roman" w:eastAsiaTheme="minorEastAsia" w:hAnsi="Times New Roman" w:cs="Times New Roman"/>
          <w:sz w:val="24"/>
          <w:szCs w:val="24"/>
        </w:rPr>
        <w:t>………………………… (</w:t>
      </w:r>
      <w:r w:rsidR="009748A1">
        <w:rPr>
          <w:rFonts w:ascii="Times New Roman" w:eastAsiaTheme="minorEastAsia" w:hAnsi="Times New Roman" w:cs="Times New Roman"/>
          <w:sz w:val="24"/>
          <w:szCs w:val="24"/>
        </w:rPr>
        <w:t>4</w:t>
      </w:r>
      <w:r w:rsidRPr="00AA7D84">
        <w:rPr>
          <w:rFonts w:ascii="Times New Roman" w:eastAsiaTheme="minorEastAsia" w:hAnsi="Times New Roman" w:cs="Times New Roman"/>
          <w:sz w:val="24"/>
          <w:szCs w:val="24"/>
        </w:rPr>
        <w:t>)</w:t>
      </w:r>
    </w:p>
    <w:p w:rsidR="001B14F8" w:rsidRPr="00AA7D84" w:rsidRDefault="001B14F8" w:rsidP="00077613">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Where </w:t>
      </w:r>
      <w:proofErr w:type="spellStart"/>
      <w:proofErr w:type="gramStart"/>
      <w:r w:rsidRPr="00AA7D84">
        <w:rPr>
          <w:rFonts w:ascii="Times New Roman" w:hAnsi="Times New Roman" w:cs="Times New Roman"/>
          <w:sz w:val="24"/>
          <w:szCs w:val="24"/>
        </w:rPr>
        <w:t>φ</w:t>
      </w:r>
      <w:r w:rsidRPr="00AA7D84">
        <w:rPr>
          <w:rFonts w:ascii="Times New Roman" w:hAnsi="Times New Roman" w:cs="Times New Roman"/>
          <w:sz w:val="24"/>
          <w:szCs w:val="24"/>
          <w:vertAlign w:val="subscript"/>
        </w:rPr>
        <w:t>r</w:t>
      </w:r>
      <w:proofErr w:type="spellEnd"/>
      <w:proofErr w:type="gramEnd"/>
      <w:r w:rsidRPr="00AA7D84">
        <w:rPr>
          <w:rFonts w:ascii="Times New Roman" w:hAnsi="Times New Roman" w:cs="Times New Roman"/>
          <w:sz w:val="24"/>
          <w:szCs w:val="24"/>
        </w:rPr>
        <w:t xml:space="preserve"> (REV) = the transformation for the response variable (rental value), </w:t>
      </w:r>
    </w:p>
    <w:p w:rsidR="001B14F8" w:rsidRPr="00AA7D84" w:rsidRDefault="00930225" w:rsidP="00077613">
      <w:pPr>
        <w:ind w:right="95"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j</m:t>
            </m:r>
          </m:sub>
        </m:sSub>
      </m:oMath>
      <w:r w:rsidR="001B14F8" w:rsidRPr="00AA7D84">
        <w:rPr>
          <w:rFonts w:ascii="Times New Roman" w:hAnsi="Times New Roman" w:cs="Times New Roman"/>
          <w:sz w:val="24"/>
          <w:szCs w:val="24"/>
        </w:rPr>
        <w:t xml:space="preserve"> = the regression coe</w:t>
      </w:r>
      <w:r w:rsidR="001B14F8" w:rsidRPr="00AA7D84">
        <w:rPr>
          <w:rFonts w:ascii="Cambria Math" w:hAnsi="Cambria Math" w:cs="Cambria Math"/>
          <w:sz w:val="24"/>
          <w:szCs w:val="24"/>
        </w:rPr>
        <w:t>ﬃ</w:t>
      </w:r>
      <w:r w:rsidR="001B14F8" w:rsidRPr="00AA7D84">
        <w:rPr>
          <w:rFonts w:ascii="Times New Roman" w:hAnsi="Times New Roman" w:cs="Times New Roman"/>
          <w:sz w:val="24"/>
          <w:szCs w:val="24"/>
        </w:rPr>
        <w:t xml:space="preserve">cients, </w:t>
      </w:r>
    </w:p>
    <w:p w:rsidR="001B14F8" w:rsidRPr="00AA7D84" w:rsidRDefault="001B14F8" w:rsidP="00077613">
      <w:pPr>
        <w:ind w:right="95" w:firstLine="720"/>
        <w:jc w:val="both"/>
        <w:rPr>
          <w:rFonts w:ascii="Times New Roman" w:hAnsi="Times New Roman" w:cs="Times New Roman"/>
          <w:sz w:val="24"/>
          <w:szCs w:val="24"/>
        </w:rPr>
      </w:pPr>
      <w:proofErr w:type="spellStart"/>
      <w:proofErr w:type="gramStart"/>
      <w:r w:rsidRPr="00AA7D84">
        <w:rPr>
          <w:rFonts w:ascii="Times New Roman" w:hAnsi="Times New Roman" w:cs="Times New Roman"/>
          <w:sz w:val="24"/>
          <w:szCs w:val="24"/>
        </w:rPr>
        <w:t>φ</w:t>
      </w:r>
      <w:r w:rsidRPr="00AA7D84">
        <w:rPr>
          <w:rFonts w:ascii="Times New Roman" w:hAnsi="Times New Roman" w:cs="Times New Roman"/>
          <w:sz w:val="24"/>
          <w:szCs w:val="24"/>
          <w:vertAlign w:val="subscript"/>
        </w:rPr>
        <w:t>j</w:t>
      </w:r>
      <w:proofErr w:type="spellEnd"/>
      <w:proofErr w:type="gramEnd"/>
      <w:r w:rsidRPr="00AA7D84">
        <w:rPr>
          <w:rFonts w:ascii="Times New Roman" w:hAnsi="Times New Roman" w:cs="Times New Roman"/>
          <w:sz w:val="24"/>
          <w:szCs w:val="24"/>
          <w:vertAlign w:val="subscript"/>
        </w:rPr>
        <w:t xml:space="preserve"> </w:t>
      </w:r>
      <w:r w:rsidRPr="00AA7D84">
        <w:rPr>
          <w:rFonts w:ascii="Times New Roman" w:hAnsi="Times New Roman" w:cs="Times New Roman"/>
          <w:sz w:val="24"/>
          <w:szCs w:val="24"/>
        </w:rPr>
        <w:t>(</w:t>
      </w:r>
      <w:proofErr w:type="spellStart"/>
      <w:r w:rsidRPr="00AA7D84">
        <w:rPr>
          <w:rFonts w:ascii="Times New Roman" w:hAnsi="Times New Roman" w:cs="Times New Roman"/>
          <w:sz w:val="24"/>
          <w:szCs w:val="24"/>
        </w:rPr>
        <w:t>x</w:t>
      </w:r>
      <w:r w:rsidRPr="00AA7D84">
        <w:rPr>
          <w:rFonts w:ascii="Times New Roman" w:hAnsi="Times New Roman" w:cs="Times New Roman"/>
          <w:sz w:val="24"/>
          <w:szCs w:val="24"/>
          <w:vertAlign w:val="subscript"/>
        </w:rPr>
        <w:t>j</w:t>
      </w:r>
      <w:proofErr w:type="spellEnd"/>
      <w:r w:rsidRPr="00AA7D84">
        <w:rPr>
          <w:rFonts w:ascii="Times New Roman" w:hAnsi="Times New Roman" w:cs="Times New Roman"/>
          <w:sz w:val="24"/>
          <w:szCs w:val="24"/>
        </w:rPr>
        <w:t xml:space="preserve">) = the transformations for predictor variables (externalities), and </w:t>
      </w:r>
    </w:p>
    <w:p w:rsidR="001B14F8" w:rsidRPr="00AA7D84" w:rsidRDefault="001B14F8" w:rsidP="00077613">
      <w:pPr>
        <w:ind w:right="95" w:firstLine="720"/>
        <w:jc w:val="both"/>
        <w:rPr>
          <w:rFonts w:ascii="Times New Roman" w:hAnsi="Times New Roman" w:cs="Times New Roman"/>
          <w:sz w:val="24"/>
          <w:szCs w:val="24"/>
        </w:rPr>
      </w:pPr>
      <w:r w:rsidRPr="00AA7D84">
        <w:rPr>
          <w:rFonts w:ascii="Times New Roman" w:hAnsi="Times New Roman" w:cs="Times New Roman"/>
          <w:i/>
          <w:sz w:val="24"/>
          <w:szCs w:val="24"/>
        </w:rPr>
        <w:t>e</w:t>
      </w:r>
      <w:r w:rsidRPr="00AA7D84">
        <w:rPr>
          <w:rFonts w:ascii="Times New Roman" w:hAnsi="Times New Roman" w:cs="Times New Roman"/>
          <w:sz w:val="24"/>
          <w:szCs w:val="24"/>
        </w:rPr>
        <w:t xml:space="preserve"> = the error vector.</w:t>
      </w:r>
    </w:p>
    <w:p w:rsidR="001B14F8" w:rsidRPr="00AA7D84" w:rsidRDefault="001B14F8" w:rsidP="00077613">
      <w:pPr>
        <w:ind w:right="95"/>
        <w:jc w:val="both"/>
        <w:rPr>
          <w:rFonts w:ascii="Times New Roman" w:hAnsi="Times New Roman" w:cs="Times New Roman"/>
          <w:sz w:val="24"/>
          <w:szCs w:val="24"/>
        </w:rPr>
      </w:pPr>
      <w:r w:rsidRPr="00AA7D84">
        <w:rPr>
          <w:rFonts w:ascii="Times New Roman" w:eastAsiaTheme="minorEastAsia" w:hAnsi="Times New Roman" w:cs="Times New Roman"/>
          <w:sz w:val="24"/>
          <w:szCs w:val="24"/>
        </w:rPr>
        <w:t xml:space="preserve">Substituting the </w:t>
      </w:r>
      <w:r w:rsidRPr="00AA7D84">
        <w:rPr>
          <w:rFonts w:ascii="Times New Roman" w:eastAsiaTheme="minorEastAsia" w:hAnsi="Times New Roman" w:cs="Times New Roman"/>
          <w:i/>
          <w:sz w:val="24"/>
          <w:szCs w:val="24"/>
        </w:rPr>
        <w:t>x</w:t>
      </w:r>
      <w:r w:rsidRPr="00AA7D84">
        <w:rPr>
          <w:rFonts w:ascii="Times New Roman" w:eastAsiaTheme="minorEastAsia" w:hAnsi="Times New Roman" w:cs="Times New Roman"/>
          <w:sz w:val="24"/>
          <w:szCs w:val="24"/>
        </w:rPr>
        <w:t xml:space="preserve"> parameters into equation (9) and (10), the equations are simplified as:</w:t>
      </w:r>
    </w:p>
    <w:p w:rsidR="001B14F8" w:rsidRPr="00AA7D84" w:rsidRDefault="001B14F8" w:rsidP="00077613">
      <w:pPr>
        <w:ind w:left="1560" w:right="95" w:hanging="1276"/>
        <w:jc w:val="both"/>
        <w:rPr>
          <w:rFonts w:ascii="Times New Roman" w:eastAsiaTheme="minorEastAsia" w:hAnsi="Times New Roman" w:cs="Times New Roman"/>
          <w:sz w:val="24"/>
          <w:szCs w:val="24"/>
        </w:rPr>
      </w:pPr>
      <w:proofErr w:type="spellStart"/>
      <w:proofErr w:type="gramStart"/>
      <w:r w:rsidRPr="00AA7D84">
        <w:rPr>
          <w:rFonts w:ascii="Cambria Math" w:hAnsi="Cambria Math" w:cs="Times New Roman"/>
          <w:sz w:val="32"/>
          <w:szCs w:val="32"/>
        </w:rPr>
        <w:t>φ</w:t>
      </w:r>
      <w:r w:rsidRPr="00AA7D84">
        <w:rPr>
          <w:rFonts w:ascii="Cambria Math" w:hAnsi="Cambria Math" w:cs="Times New Roman"/>
          <w:sz w:val="32"/>
          <w:szCs w:val="32"/>
          <w:vertAlign w:val="subscript"/>
        </w:rPr>
        <w:t>r</w:t>
      </w:r>
      <w:proofErr w:type="spellEnd"/>
      <w:proofErr w:type="gramEnd"/>
      <w:r w:rsidRPr="00AA7D84">
        <w:rPr>
          <w:rFonts w:ascii="Cambria Math" w:hAnsi="Cambria Math" w:cs="Times New Roman"/>
          <w:sz w:val="32"/>
          <w:szCs w:val="32"/>
          <w:vertAlign w:val="subscript"/>
        </w:rPr>
        <w:t xml:space="preserve"> (REV) </w:t>
      </w:r>
      <w:r w:rsidRPr="00AA7D84">
        <w:rPr>
          <w:rFonts w:ascii="Times New Roman" w:eastAsiaTheme="minorEastAsia" w:hAnsi="Times New Roman" w:cs="Times New Roman"/>
          <w:sz w:val="24"/>
          <w:szCs w:val="24"/>
        </w:rPr>
        <w:t xml:space="preserve">= </w:t>
      </w:r>
      <w:r w:rsidRPr="00AA7D84">
        <w:rPr>
          <w:rFonts w:ascii="Times New Roman" w:hAnsi="Times New Roman" w:cs="Times New Roman"/>
          <w:sz w:val="24"/>
          <w:szCs w:val="24"/>
        </w:rPr>
        <w:t>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(SHOP)</w:t>
      </w:r>
      <w:r w:rsidRPr="00AA7D84">
        <w:rPr>
          <w:rFonts w:ascii="Times New Roman" w:hAnsi="Times New Roman" w:cs="Times New Roman"/>
          <w:sz w:val="24"/>
          <w:szCs w:val="24"/>
        </w:rPr>
        <w:t xml:space="preserve"> + </w:t>
      </w:r>
      <w:r w:rsidRPr="00AA7D84">
        <w:rPr>
          <w:rFonts w:ascii="Times New Roman" w:hAnsi="Times New Roman" w:cs="Times New Roman"/>
          <w:sz w:val="24"/>
          <w:szCs w:val="24"/>
          <w:vertAlign w:val="subscript"/>
        </w:rPr>
        <w:t xml:space="preserve"> </w:t>
      </w:r>
      <w:r w:rsidRPr="00AA7D84">
        <w:rPr>
          <w:rFonts w:ascii="Times New Roman" w:hAnsi="Times New Roman" w:cs="Times New Roman"/>
          <w:sz w:val="24"/>
          <w:szCs w:val="24"/>
        </w:rPr>
        <w:t>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(EDUC)</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(HEALTH)</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(RECRE)</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(ROAD)</w:t>
      </w:r>
      <w:r w:rsidRPr="00AA7D84">
        <w:rPr>
          <w:rFonts w:ascii="Times New Roman" w:hAnsi="Times New Roman" w:cs="Times New Roman"/>
          <w:sz w:val="24"/>
          <w:szCs w:val="24"/>
        </w:rPr>
        <w:t xml:space="preserve"> +</w:t>
      </w:r>
      <w:r w:rsidRPr="00AA7D84">
        <w:rPr>
          <w:rFonts w:ascii="Times New Roman" w:hAnsi="Times New Roman" w:cs="Times New Roman"/>
          <w:sz w:val="24"/>
          <w:szCs w:val="24"/>
          <w:vertAlign w:val="subscript"/>
        </w:rPr>
        <w:t xml:space="preserve"> </w:t>
      </w:r>
      <w:r w:rsidRPr="00AA7D84">
        <w:rPr>
          <w:rFonts w:ascii="Times New Roman" w:hAnsi="Times New Roman" w:cs="Times New Roman"/>
          <w:sz w:val="24"/>
          <w:szCs w:val="24"/>
        </w:rPr>
        <w:t>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(REFUSE)</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(SECURE)</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(ELECT)</w:t>
      </w:r>
      <w:r w:rsidRPr="00AA7D84">
        <w:rPr>
          <w:rFonts w:ascii="Times New Roman" w:hAnsi="Times New Roman" w:cs="Times New Roman"/>
          <w:sz w:val="24"/>
          <w:szCs w:val="24"/>
        </w:rPr>
        <w:t xml:space="preserve"> + β</w:t>
      </w:r>
      <w:r w:rsidRPr="00AA7D84">
        <w:rPr>
          <w:rFonts w:ascii="Times New Roman" w:hAnsi="Times New Roman" w:cs="Times New Roman"/>
          <w:sz w:val="24"/>
          <w:szCs w:val="24"/>
          <w:vertAlign w:val="subscript"/>
        </w:rPr>
        <w:t xml:space="preserve">1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φ</m:t>
            </m:r>
          </m:e>
          <m:sub>
            <m:r>
              <w:rPr>
                <w:rFonts w:ascii="Cambria Math" w:hAnsi="Cambria Math" w:cs="Times New Roman"/>
                <w:sz w:val="28"/>
                <w:szCs w:val="28"/>
                <w:vertAlign w:val="subscript"/>
              </w:rPr>
              <m:t>j</m:t>
            </m:r>
          </m:sub>
        </m:sSub>
      </m:oMath>
      <w:r w:rsidRPr="00AA7D84">
        <w:rPr>
          <w:rFonts w:ascii="Times New Roman" w:eastAsiaTheme="minorEastAsia" w:hAnsi="Times New Roman" w:cs="Times New Roman"/>
          <w:sz w:val="28"/>
          <w:szCs w:val="28"/>
          <w:vertAlign w:val="subscript"/>
        </w:rPr>
        <w:t>(WATER)</w:t>
      </w:r>
      <w:r w:rsidRPr="00AA7D84">
        <w:rPr>
          <w:rFonts w:ascii="Times New Roman" w:hAnsi="Times New Roman" w:cs="Times New Roman"/>
          <w:sz w:val="24"/>
          <w:szCs w:val="24"/>
        </w:rPr>
        <w:t xml:space="preserve"> + </w:t>
      </w:r>
      <w:r w:rsidRPr="00AA7D84">
        <w:rPr>
          <w:rFonts w:ascii="Times New Roman" w:hAnsi="Times New Roman" w:cs="Times New Roman"/>
          <w:i/>
          <w:sz w:val="24"/>
          <w:szCs w:val="24"/>
        </w:rPr>
        <w:t>e</w:t>
      </w:r>
      <w:r w:rsidRPr="00AA7D84">
        <w:rPr>
          <w:rFonts w:ascii="Times New Roman" w:hAnsi="Times New Roman" w:cs="Times New Roman"/>
          <w:sz w:val="24"/>
          <w:szCs w:val="24"/>
        </w:rPr>
        <w:t xml:space="preserve"> </w:t>
      </w:r>
      <w:r w:rsidRPr="00AA7D84">
        <w:rPr>
          <w:rFonts w:ascii="Times New Roman" w:eastAsiaTheme="minorEastAsia" w:hAnsi="Times New Roman" w:cs="Times New Roman"/>
          <w:sz w:val="24"/>
          <w:szCs w:val="24"/>
        </w:rPr>
        <w:t>…...………………………(</w:t>
      </w:r>
      <w:r w:rsidR="009748A1">
        <w:rPr>
          <w:rFonts w:ascii="Times New Roman" w:eastAsiaTheme="minorEastAsia" w:hAnsi="Times New Roman" w:cs="Times New Roman"/>
          <w:sz w:val="24"/>
          <w:szCs w:val="24"/>
        </w:rPr>
        <w:t>5</w:t>
      </w:r>
      <w:r w:rsidRPr="00AA7D84">
        <w:rPr>
          <w:rFonts w:ascii="Times New Roman" w:eastAsiaTheme="minorEastAsia" w:hAnsi="Times New Roman" w:cs="Times New Roman"/>
          <w:sz w:val="24"/>
          <w:szCs w:val="24"/>
        </w:rPr>
        <w:t>)</w:t>
      </w:r>
    </w:p>
    <w:p w:rsidR="00077613" w:rsidRDefault="00077613" w:rsidP="002C7F04">
      <w:pPr>
        <w:ind w:right="95"/>
        <w:jc w:val="both"/>
        <w:rPr>
          <w:rFonts w:ascii="Times New Roman" w:hAnsi="Times New Roman" w:cs="Times New Roman"/>
          <w:b/>
          <w:sz w:val="24"/>
          <w:szCs w:val="24"/>
        </w:rPr>
      </w:pPr>
    </w:p>
    <w:p w:rsidR="0033230F" w:rsidRDefault="0033230F" w:rsidP="002C7F04">
      <w:pPr>
        <w:ind w:right="95"/>
        <w:jc w:val="both"/>
        <w:rPr>
          <w:rFonts w:ascii="Times New Roman" w:hAnsi="Times New Roman" w:cs="Times New Roman"/>
          <w:b/>
          <w:sz w:val="24"/>
          <w:szCs w:val="24"/>
        </w:rPr>
      </w:pPr>
      <w:r w:rsidRPr="0033230F">
        <w:rPr>
          <w:rFonts w:ascii="Times New Roman" w:hAnsi="Times New Roman" w:cs="Times New Roman"/>
          <w:b/>
          <w:sz w:val="24"/>
          <w:szCs w:val="24"/>
        </w:rPr>
        <w:t>Findings</w:t>
      </w:r>
    </w:p>
    <w:p w:rsidR="007B2DBD" w:rsidRPr="00AA7D84" w:rsidRDefault="007B2DBD" w:rsidP="007B2DBD">
      <w:pPr>
        <w:spacing w:line="480" w:lineRule="auto"/>
        <w:ind w:right="95"/>
        <w:jc w:val="both"/>
        <w:rPr>
          <w:rFonts w:ascii="Times New Roman" w:hAnsi="Times New Roman" w:cs="Times New Roman"/>
          <w:sz w:val="24"/>
          <w:szCs w:val="24"/>
        </w:rPr>
      </w:pPr>
      <w:r w:rsidRPr="00AA7D84">
        <w:rPr>
          <w:rFonts w:ascii="Times New Roman" w:hAnsi="Times New Roman" w:cs="Times New Roman"/>
          <w:sz w:val="24"/>
          <w:szCs w:val="24"/>
        </w:rPr>
        <w:t>The result of the optimally scaled categorical regression analysis is presented as follows:</w:t>
      </w:r>
    </w:p>
    <w:p w:rsidR="007B2DBD" w:rsidRPr="00AA7D84" w:rsidRDefault="007B2DBD" w:rsidP="007B2DBD">
      <w:pPr>
        <w:tabs>
          <w:tab w:val="left" w:pos="1134"/>
        </w:tabs>
        <w:spacing w:after="0" w:line="240" w:lineRule="auto"/>
        <w:ind w:right="95"/>
        <w:jc w:val="both"/>
        <w:rPr>
          <w:rFonts w:ascii="Times New Roman" w:hAnsi="Times New Roman" w:cs="Times New Roman"/>
          <w:b/>
          <w:sz w:val="24"/>
          <w:szCs w:val="24"/>
        </w:rPr>
      </w:pPr>
      <w:r w:rsidRPr="00AA7D84">
        <w:rPr>
          <w:rFonts w:ascii="Times New Roman" w:hAnsi="Times New Roman" w:cs="Times New Roman"/>
          <w:b/>
          <w:sz w:val="24"/>
          <w:szCs w:val="24"/>
        </w:rPr>
        <w:t xml:space="preserve">Table </w:t>
      </w:r>
      <w:r w:rsidR="00077613">
        <w:rPr>
          <w:rFonts w:ascii="Times New Roman" w:hAnsi="Times New Roman" w:cs="Times New Roman"/>
          <w:b/>
          <w:sz w:val="24"/>
          <w:szCs w:val="24"/>
        </w:rPr>
        <w:t>1</w:t>
      </w:r>
      <w:r w:rsidRPr="00AA7D84">
        <w:rPr>
          <w:rFonts w:ascii="Times New Roman" w:hAnsi="Times New Roman" w:cs="Times New Roman"/>
          <w:b/>
          <w:sz w:val="24"/>
          <w:szCs w:val="24"/>
        </w:rPr>
        <w:t>:</w:t>
      </w:r>
      <w:r w:rsidRPr="00AA7D84">
        <w:rPr>
          <w:rFonts w:ascii="Times New Roman" w:hAnsi="Times New Roman" w:cs="Times New Roman"/>
          <w:b/>
          <w:sz w:val="24"/>
          <w:szCs w:val="24"/>
        </w:rPr>
        <w:tab/>
        <w:t>Model Summary (Standardized Data)</w:t>
      </w:r>
    </w:p>
    <w:tbl>
      <w:tblPr>
        <w:tblW w:w="8803" w:type="dxa"/>
        <w:tblInd w:w="93" w:type="dxa"/>
        <w:tblLook w:val="04A0" w:firstRow="1" w:lastRow="0" w:firstColumn="1" w:lastColumn="0" w:noHBand="0" w:noVBand="1"/>
      </w:tblPr>
      <w:tblGrid>
        <w:gridCol w:w="3417"/>
        <w:gridCol w:w="1842"/>
        <w:gridCol w:w="1701"/>
        <w:gridCol w:w="1843"/>
      </w:tblGrid>
      <w:tr w:rsidR="007B2DBD" w:rsidRPr="00AA7D84" w:rsidTr="007B2DBD">
        <w:trPr>
          <w:trHeight w:val="630"/>
        </w:trPr>
        <w:tc>
          <w:tcPr>
            <w:tcW w:w="3417"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House Type</w:t>
            </w:r>
          </w:p>
        </w:tc>
        <w:tc>
          <w:tcPr>
            <w:tcW w:w="1842"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Multiple R</w:t>
            </w:r>
          </w:p>
        </w:tc>
        <w:tc>
          <w:tcPr>
            <w:tcW w:w="1701"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 Square</w:t>
            </w:r>
          </w:p>
        </w:tc>
        <w:tc>
          <w:tcPr>
            <w:tcW w:w="1843"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Adjusted R Square</w:t>
            </w:r>
          </w:p>
        </w:tc>
      </w:tr>
      <w:tr w:rsidR="007B2DBD" w:rsidRPr="00AA7D84" w:rsidTr="00077613">
        <w:trPr>
          <w:trHeight w:val="315"/>
        </w:trPr>
        <w:tc>
          <w:tcPr>
            <w:tcW w:w="3417" w:type="dxa"/>
            <w:tcBorders>
              <w:top w:val="nil"/>
              <w:left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Tenement buildings</w:t>
            </w:r>
          </w:p>
        </w:tc>
        <w:tc>
          <w:tcPr>
            <w:tcW w:w="1842" w:type="dxa"/>
            <w:tcBorders>
              <w:top w:val="nil"/>
              <w:left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0.671</w:t>
            </w:r>
          </w:p>
        </w:tc>
        <w:tc>
          <w:tcPr>
            <w:tcW w:w="1701" w:type="dxa"/>
            <w:tcBorders>
              <w:top w:val="nil"/>
              <w:left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0.451</w:t>
            </w:r>
          </w:p>
        </w:tc>
        <w:tc>
          <w:tcPr>
            <w:tcW w:w="1843" w:type="dxa"/>
            <w:tcBorders>
              <w:top w:val="nil"/>
              <w:left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0.433</w:t>
            </w:r>
          </w:p>
        </w:tc>
      </w:tr>
      <w:tr w:rsidR="007B2DBD" w:rsidRPr="00AA7D84" w:rsidTr="00077613">
        <w:trPr>
          <w:trHeight w:val="315"/>
        </w:trPr>
        <w:tc>
          <w:tcPr>
            <w:tcW w:w="3417"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One bedroom apartment</w:t>
            </w:r>
          </w:p>
        </w:tc>
        <w:tc>
          <w:tcPr>
            <w:tcW w:w="1842"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0.781</w:t>
            </w:r>
          </w:p>
        </w:tc>
        <w:tc>
          <w:tcPr>
            <w:tcW w:w="1701"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0.61</w:t>
            </w:r>
          </w:p>
        </w:tc>
        <w:tc>
          <w:tcPr>
            <w:tcW w:w="1843"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0.598</w:t>
            </w:r>
          </w:p>
        </w:tc>
      </w:tr>
    </w:tbl>
    <w:p w:rsidR="007B2DBD" w:rsidRPr="00AA7D84" w:rsidRDefault="007B2DBD" w:rsidP="007B2DBD">
      <w:pPr>
        <w:spacing w:line="360" w:lineRule="auto"/>
        <w:ind w:right="95"/>
        <w:jc w:val="both"/>
        <w:rPr>
          <w:rFonts w:ascii="Times New Roman" w:hAnsi="Times New Roman" w:cs="Times New Roman"/>
          <w:b/>
          <w:sz w:val="24"/>
          <w:szCs w:val="24"/>
        </w:rPr>
      </w:pPr>
      <w:r w:rsidRPr="00AA7D84">
        <w:rPr>
          <w:rFonts w:ascii="Times New Roman" w:hAnsi="Times New Roman" w:cs="Times New Roman"/>
          <w:b/>
          <w:sz w:val="24"/>
          <w:szCs w:val="24"/>
        </w:rPr>
        <w:t>Data Analysis, 201</w:t>
      </w:r>
      <w:r w:rsidR="00077613">
        <w:rPr>
          <w:rFonts w:ascii="Times New Roman" w:hAnsi="Times New Roman" w:cs="Times New Roman"/>
          <w:b/>
          <w:sz w:val="24"/>
          <w:szCs w:val="24"/>
        </w:rPr>
        <w:t>9</w:t>
      </w:r>
    </w:p>
    <w:p w:rsidR="007B2DBD" w:rsidRDefault="007B2DBD" w:rsidP="00077613">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model summary in Table </w:t>
      </w:r>
      <w:r w:rsidR="00077613">
        <w:rPr>
          <w:rFonts w:ascii="Times New Roman" w:hAnsi="Times New Roman" w:cs="Times New Roman"/>
          <w:sz w:val="24"/>
          <w:szCs w:val="24"/>
        </w:rPr>
        <w:t>1</w:t>
      </w:r>
      <w:r w:rsidRPr="00AA7D84">
        <w:rPr>
          <w:rFonts w:ascii="Times New Roman" w:hAnsi="Times New Roman" w:cs="Times New Roman"/>
          <w:sz w:val="24"/>
          <w:szCs w:val="24"/>
        </w:rPr>
        <w:t xml:space="preserve"> showed a R</w:t>
      </w:r>
      <w:r w:rsidRPr="00AA7D84">
        <w:rPr>
          <w:rFonts w:ascii="Times New Roman" w:hAnsi="Times New Roman" w:cs="Times New Roman"/>
          <w:sz w:val="24"/>
          <w:szCs w:val="24"/>
          <w:vertAlign w:val="superscript"/>
        </w:rPr>
        <w:t xml:space="preserve">2 </w:t>
      </w:r>
      <w:r w:rsidRPr="00AA7D84">
        <w:rPr>
          <w:rFonts w:ascii="Times New Roman" w:hAnsi="Times New Roman" w:cs="Times New Roman"/>
          <w:sz w:val="24"/>
          <w:szCs w:val="24"/>
        </w:rPr>
        <w:t xml:space="preserve">value of 0.451 for tenement buildings, an indication that the regression model explains approximately 45% of the total variation in the rental values of tenement buildings in the study area. The remaining 55% can be related to other unaccounted factors which are not included in the model such as: the size of the dwelling unit, the condition of the physical building components of the house, age of the building, and number of toilets. Detailed discussions are presented in chapter 5. The model summary in table </w:t>
      </w:r>
      <w:r w:rsidR="00077613">
        <w:rPr>
          <w:rFonts w:ascii="Times New Roman" w:hAnsi="Times New Roman" w:cs="Times New Roman"/>
          <w:sz w:val="24"/>
          <w:szCs w:val="24"/>
        </w:rPr>
        <w:t>1</w:t>
      </w:r>
      <w:r w:rsidRPr="00AA7D84">
        <w:rPr>
          <w:rFonts w:ascii="Times New Roman" w:hAnsi="Times New Roman" w:cs="Times New Roman"/>
          <w:sz w:val="24"/>
          <w:szCs w:val="24"/>
        </w:rPr>
        <w:t xml:space="preserve"> also showed a </w:t>
      </w:r>
      <w:r w:rsidRPr="00AA7D84">
        <w:rPr>
          <w:rFonts w:ascii="Times New Roman" w:hAnsi="Times New Roman" w:cs="Times New Roman"/>
          <w:i/>
          <w:sz w:val="24"/>
          <w:szCs w:val="24"/>
        </w:rPr>
        <w:t>R</w:t>
      </w:r>
      <w:r w:rsidRPr="00AA7D84">
        <w:rPr>
          <w:rFonts w:ascii="Times New Roman" w:hAnsi="Times New Roman" w:cs="Times New Roman"/>
          <w:i/>
          <w:sz w:val="24"/>
          <w:szCs w:val="24"/>
          <w:vertAlign w:val="superscript"/>
        </w:rPr>
        <w:t>2</w:t>
      </w:r>
      <w:r w:rsidRPr="00AA7D84">
        <w:rPr>
          <w:rFonts w:ascii="Times New Roman" w:hAnsi="Times New Roman" w:cs="Times New Roman"/>
          <w:sz w:val="24"/>
          <w:szCs w:val="24"/>
        </w:rPr>
        <w:t xml:space="preserve"> value of 0.610 for one bedroom apartments and implied that </w:t>
      </w:r>
      <w:r w:rsidR="00077613">
        <w:rPr>
          <w:rFonts w:ascii="Times New Roman" w:hAnsi="Times New Roman" w:cs="Times New Roman"/>
          <w:sz w:val="24"/>
          <w:szCs w:val="24"/>
        </w:rPr>
        <w:t xml:space="preserve">amenities </w:t>
      </w:r>
      <w:r w:rsidRPr="00AA7D84">
        <w:rPr>
          <w:rFonts w:ascii="Times New Roman" w:hAnsi="Times New Roman" w:cs="Times New Roman"/>
          <w:sz w:val="24"/>
          <w:szCs w:val="24"/>
        </w:rPr>
        <w:t>explain</w:t>
      </w:r>
      <w:r w:rsidR="00077613">
        <w:rPr>
          <w:rFonts w:ascii="Times New Roman" w:hAnsi="Times New Roman" w:cs="Times New Roman"/>
          <w:sz w:val="24"/>
          <w:szCs w:val="24"/>
        </w:rPr>
        <w:t>ed</w:t>
      </w:r>
      <w:r w:rsidRPr="00AA7D84">
        <w:rPr>
          <w:rFonts w:ascii="Times New Roman" w:hAnsi="Times New Roman" w:cs="Times New Roman"/>
          <w:sz w:val="24"/>
          <w:szCs w:val="24"/>
        </w:rPr>
        <w:t xml:space="preserve"> 61% of the variability in the rental values of one bedroom apartment in the study area. The remaining 39% can also be related to other unaccounted factors which are not included in the model.</w:t>
      </w: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D374C" w:rsidRDefault="007D374C" w:rsidP="007B2DBD">
      <w:pPr>
        <w:spacing w:after="0" w:line="240" w:lineRule="auto"/>
        <w:ind w:right="95"/>
        <w:jc w:val="both"/>
        <w:rPr>
          <w:rFonts w:ascii="Times New Roman" w:hAnsi="Times New Roman" w:cs="Times New Roman"/>
          <w:b/>
          <w:sz w:val="24"/>
          <w:szCs w:val="24"/>
        </w:rPr>
      </w:pPr>
    </w:p>
    <w:p w:rsidR="007B2DBD" w:rsidRPr="00AA7D84" w:rsidRDefault="007B2DBD" w:rsidP="007B2DBD">
      <w:pPr>
        <w:spacing w:after="0" w:line="240" w:lineRule="auto"/>
        <w:ind w:right="95"/>
        <w:jc w:val="both"/>
        <w:rPr>
          <w:rFonts w:ascii="Times New Roman" w:hAnsi="Times New Roman" w:cs="Times New Roman"/>
          <w:b/>
          <w:sz w:val="24"/>
          <w:szCs w:val="24"/>
        </w:rPr>
      </w:pPr>
      <w:r w:rsidRPr="00AA7D84">
        <w:rPr>
          <w:rFonts w:ascii="Times New Roman" w:hAnsi="Times New Roman" w:cs="Times New Roman"/>
          <w:b/>
          <w:sz w:val="24"/>
          <w:szCs w:val="24"/>
        </w:rPr>
        <w:lastRenderedPageBreak/>
        <w:t xml:space="preserve">Table </w:t>
      </w:r>
      <w:r w:rsidR="00077613">
        <w:rPr>
          <w:rFonts w:ascii="Times New Roman" w:hAnsi="Times New Roman" w:cs="Times New Roman"/>
          <w:b/>
          <w:sz w:val="24"/>
          <w:szCs w:val="24"/>
        </w:rPr>
        <w:t>2</w:t>
      </w:r>
      <w:r w:rsidRPr="00AA7D84">
        <w:rPr>
          <w:rFonts w:ascii="Times New Roman" w:hAnsi="Times New Roman" w:cs="Times New Roman"/>
          <w:b/>
          <w:sz w:val="24"/>
          <w:szCs w:val="24"/>
        </w:rPr>
        <w:t>: ANOVA test for statistical significance</w:t>
      </w:r>
    </w:p>
    <w:tbl>
      <w:tblPr>
        <w:tblW w:w="8913" w:type="dxa"/>
        <w:tblInd w:w="93" w:type="dxa"/>
        <w:tblLook w:val="04A0" w:firstRow="1" w:lastRow="0" w:firstColumn="1" w:lastColumn="0" w:noHBand="0" w:noVBand="1"/>
      </w:tblPr>
      <w:tblGrid>
        <w:gridCol w:w="3134"/>
        <w:gridCol w:w="1134"/>
        <w:gridCol w:w="1276"/>
        <w:gridCol w:w="883"/>
        <w:gridCol w:w="1526"/>
        <w:gridCol w:w="960"/>
      </w:tblGrid>
      <w:tr w:rsidR="007B2DBD" w:rsidRPr="00AA7D84" w:rsidTr="007D374C">
        <w:trPr>
          <w:trHeight w:val="419"/>
        </w:trPr>
        <w:tc>
          <w:tcPr>
            <w:tcW w:w="3134"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1134"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Sum of Squares</w:t>
            </w:r>
          </w:p>
        </w:tc>
        <w:tc>
          <w:tcPr>
            <w:tcW w:w="1276"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proofErr w:type="spellStart"/>
            <w:r w:rsidRPr="00AA7D84">
              <w:rPr>
                <w:rFonts w:ascii="Times New Roman" w:eastAsia="Times New Roman" w:hAnsi="Times New Roman" w:cs="Times New Roman"/>
                <w:color w:val="000000"/>
                <w:sz w:val="24"/>
                <w:szCs w:val="24"/>
                <w:lang w:eastAsia="en-GB"/>
              </w:rPr>
              <w:t>Df</w:t>
            </w:r>
            <w:proofErr w:type="spellEnd"/>
          </w:p>
        </w:tc>
        <w:tc>
          <w:tcPr>
            <w:tcW w:w="883"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Mean Square</w:t>
            </w:r>
          </w:p>
        </w:tc>
        <w:tc>
          <w:tcPr>
            <w:tcW w:w="1526"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F</w:t>
            </w:r>
          </w:p>
        </w:tc>
        <w:tc>
          <w:tcPr>
            <w:tcW w:w="960" w:type="dxa"/>
            <w:tcBorders>
              <w:top w:val="single" w:sz="4" w:space="0" w:color="auto"/>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Sig.</w:t>
            </w:r>
          </w:p>
        </w:tc>
      </w:tr>
      <w:tr w:rsidR="007B2DBD" w:rsidRPr="00AA7D84" w:rsidTr="007B2DBD">
        <w:trPr>
          <w:trHeight w:val="315"/>
        </w:trPr>
        <w:tc>
          <w:tcPr>
            <w:tcW w:w="8913" w:type="dxa"/>
            <w:gridSpan w:val="6"/>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b/>
                <w:bCs/>
                <w:color w:val="000000"/>
                <w:sz w:val="24"/>
                <w:szCs w:val="24"/>
                <w:lang w:eastAsia="en-GB"/>
              </w:rPr>
            </w:pPr>
            <w:r w:rsidRPr="00AA7D84">
              <w:rPr>
                <w:rFonts w:ascii="Times New Roman" w:eastAsia="Times New Roman" w:hAnsi="Times New Roman" w:cs="Times New Roman"/>
                <w:b/>
                <w:bCs/>
                <w:color w:val="000000"/>
                <w:sz w:val="24"/>
                <w:szCs w:val="24"/>
                <w:lang w:eastAsia="en-GB"/>
              </w:rPr>
              <w:t>Tenement Buildings</w:t>
            </w:r>
          </w:p>
        </w:tc>
      </w:tr>
      <w:tr w:rsidR="007B2DBD" w:rsidRPr="00AA7D84" w:rsidTr="007D374C">
        <w:trPr>
          <w:trHeight w:val="174"/>
        </w:trPr>
        <w:tc>
          <w:tcPr>
            <w:tcW w:w="3134"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Regression</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213.265</w:t>
            </w:r>
          </w:p>
        </w:tc>
        <w:tc>
          <w:tcPr>
            <w:tcW w:w="127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15</w:t>
            </w:r>
          </w:p>
        </w:tc>
        <w:tc>
          <w:tcPr>
            <w:tcW w:w="88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14.218</w:t>
            </w:r>
          </w:p>
        </w:tc>
        <w:tc>
          <w:tcPr>
            <w:tcW w:w="152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25.016</w:t>
            </w:r>
          </w:p>
        </w:tc>
        <w:tc>
          <w:tcPr>
            <w:tcW w:w="96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0.000</w:t>
            </w:r>
          </w:p>
        </w:tc>
      </w:tr>
      <w:tr w:rsidR="007B2DBD" w:rsidRPr="00AA7D84" w:rsidTr="007B2DBD">
        <w:trPr>
          <w:trHeight w:val="315"/>
        </w:trPr>
        <w:tc>
          <w:tcPr>
            <w:tcW w:w="3134"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Residual</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259.735</w:t>
            </w:r>
          </w:p>
        </w:tc>
        <w:tc>
          <w:tcPr>
            <w:tcW w:w="127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457</w:t>
            </w:r>
          </w:p>
        </w:tc>
        <w:tc>
          <w:tcPr>
            <w:tcW w:w="88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0.568</w:t>
            </w:r>
          </w:p>
        </w:tc>
        <w:tc>
          <w:tcPr>
            <w:tcW w:w="1526"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Calibri" w:eastAsia="Times New Roman" w:hAnsi="Calibri" w:cs="Times New Roman"/>
                <w:color w:val="000000"/>
                <w:lang w:eastAsia="en-GB"/>
              </w:rPr>
            </w:pPr>
          </w:p>
        </w:tc>
      </w:tr>
      <w:tr w:rsidR="007B2DBD" w:rsidRPr="00AA7D84" w:rsidTr="007D374C">
        <w:trPr>
          <w:trHeight w:val="106"/>
        </w:trPr>
        <w:tc>
          <w:tcPr>
            <w:tcW w:w="3134"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Total</w:t>
            </w:r>
          </w:p>
        </w:tc>
        <w:tc>
          <w:tcPr>
            <w:tcW w:w="1134"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473</w:t>
            </w:r>
          </w:p>
        </w:tc>
        <w:tc>
          <w:tcPr>
            <w:tcW w:w="1276"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472</w:t>
            </w:r>
          </w:p>
        </w:tc>
        <w:tc>
          <w:tcPr>
            <w:tcW w:w="883"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1526"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960"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r>
      <w:tr w:rsidR="007B2DBD" w:rsidRPr="00AA7D84" w:rsidTr="007B2DBD">
        <w:trPr>
          <w:trHeight w:val="315"/>
        </w:trPr>
        <w:tc>
          <w:tcPr>
            <w:tcW w:w="8913" w:type="dxa"/>
            <w:gridSpan w:val="6"/>
            <w:tcBorders>
              <w:top w:val="nil"/>
              <w:left w:val="nil"/>
              <w:bottom w:val="nil"/>
              <w:right w:val="nil"/>
            </w:tcBorders>
            <w:shd w:val="clear" w:color="auto" w:fill="auto"/>
            <w:noWrap/>
            <w:vAlign w:val="bottom"/>
            <w:hideMark/>
          </w:tcPr>
          <w:p w:rsidR="007B2DBD" w:rsidRPr="00AA7D84" w:rsidRDefault="007B2DBD" w:rsidP="007D374C">
            <w:pPr>
              <w:spacing w:after="0" w:line="240" w:lineRule="auto"/>
              <w:rPr>
                <w:rFonts w:ascii="Times New Roman" w:eastAsia="Times New Roman" w:hAnsi="Times New Roman" w:cs="Times New Roman"/>
                <w:b/>
                <w:bCs/>
                <w:color w:val="000000"/>
                <w:sz w:val="24"/>
                <w:szCs w:val="24"/>
                <w:lang w:eastAsia="en-GB"/>
              </w:rPr>
            </w:pPr>
            <w:r w:rsidRPr="00AA7D84">
              <w:rPr>
                <w:rFonts w:ascii="Times New Roman" w:eastAsia="Times New Roman" w:hAnsi="Times New Roman" w:cs="Times New Roman"/>
                <w:b/>
                <w:bCs/>
                <w:color w:val="000000"/>
                <w:sz w:val="24"/>
                <w:szCs w:val="24"/>
                <w:lang w:eastAsia="en-GB"/>
              </w:rPr>
              <w:t>One bedroom apartment</w:t>
            </w:r>
          </w:p>
        </w:tc>
      </w:tr>
      <w:tr w:rsidR="007B2DBD" w:rsidRPr="00AA7D84" w:rsidTr="007D374C">
        <w:trPr>
          <w:trHeight w:val="119"/>
        </w:trPr>
        <w:tc>
          <w:tcPr>
            <w:tcW w:w="3134"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Regression</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215.708</w:t>
            </w:r>
          </w:p>
        </w:tc>
        <w:tc>
          <w:tcPr>
            <w:tcW w:w="127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11</w:t>
            </w:r>
          </w:p>
        </w:tc>
        <w:tc>
          <w:tcPr>
            <w:tcW w:w="88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19.61</w:t>
            </w:r>
          </w:p>
        </w:tc>
        <w:tc>
          <w:tcPr>
            <w:tcW w:w="152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48.495</w:t>
            </w:r>
          </w:p>
        </w:tc>
        <w:tc>
          <w:tcPr>
            <w:tcW w:w="96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0.000</w:t>
            </w:r>
          </w:p>
        </w:tc>
      </w:tr>
      <w:tr w:rsidR="007B2DBD" w:rsidRPr="00AA7D84" w:rsidTr="007D374C">
        <w:trPr>
          <w:trHeight w:val="106"/>
        </w:trPr>
        <w:tc>
          <w:tcPr>
            <w:tcW w:w="3134"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Residual</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138.292</w:t>
            </w:r>
          </w:p>
        </w:tc>
        <w:tc>
          <w:tcPr>
            <w:tcW w:w="1276"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342</w:t>
            </w:r>
          </w:p>
        </w:tc>
        <w:tc>
          <w:tcPr>
            <w:tcW w:w="88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0.404</w:t>
            </w:r>
          </w:p>
        </w:tc>
        <w:tc>
          <w:tcPr>
            <w:tcW w:w="1526"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vAlign w:val="center"/>
            <w:hideMark/>
          </w:tcPr>
          <w:p w:rsidR="007B2DBD" w:rsidRPr="00AA7D84" w:rsidRDefault="007B2DBD" w:rsidP="007D374C">
            <w:pPr>
              <w:spacing w:after="0" w:line="240" w:lineRule="auto"/>
              <w:rPr>
                <w:rFonts w:ascii="Calibri" w:eastAsia="Times New Roman" w:hAnsi="Calibri" w:cs="Times New Roman"/>
                <w:color w:val="000000"/>
                <w:lang w:eastAsia="en-GB"/>
              </w:rPr>
            </w:pPr>
          </w:p>
        </w:tc>
      </w:tr>
      <w:tr w:rsidR="007B2DBD" w:rsidRPr="00AA7D84" w:rsidTr="007D374C">
        <w:trPr>
          <w:trHeight w:val="106"/>
        </w:trPr>
        <w:tc>
          <w:tcPr>
            <w:tcW w:w="3134"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Total</w:t>
            </w:r>
          </w:p>
        </w:tc>
        <w:tc>
          <w:tcPr>
            <w:tcW w:w="1134"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354</w:t>
            </w:r>
          </w:p>
        </w:tc>
        <w:tc>
          <w:tcPr>
            <w:tcW w:w="1276" w:type="dxa"/>
            <w:tcBorders>
              <w:top w:val="nil"/>
              <w:left w:val="nil"/>
              <w:bottom w:val="single" w:sz="4" w:space="0" w:color="auto"/>
              <w:right w:val="nil"/>
            </w:tcBorders>
            <w:shd w:val="clear" w:color="auto" w:fill="auto"/>
            <w:noWrap/>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353</w:t>
            </w:r>
          </w:p>
        </w:tc>
        <w:tc>
          <w:tcPr>
            <w:tcW w:w="883"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1526"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960" w:type="dxa"/>
            <w:tcBorders>
              <w:top w:val="nil"/>
              <w:left w:val="nil"/>
              <w:bottom w:val="single" w:sz="4" w:space="0" w:color="auto"/>
              <w:right w:val="nil"/>
            </w:tcBorders>
            <w:shd w:val="clear" w:color="auto" w:fill="auto"/>
            <w:vAlign w:val="center"/>
            <w:hideMark/>
          </w:tcPr>
          <w:p w:rsidR="007B2DBD" w:rsidRPr="00AA7D84" w:rsidRDefault="007B2DBD" w:rsidP="007D374C">
            <w:pPr>
              <w:spacing w:after="0" w:line="240" w:lineRule="auto"/>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r>
    </w:tbl>
    <w:p w:rsidR="007B2DBD" w:rsidRPr="00AA7D84" w:rsidRDefault="007B2DBD" w:rsidP="007B2DBD">
      <w:pPr>
        <w:spacing w:line="360" w:lineRule="auto"/>
        <w:ind w:right="95"/>
        <w:jc w:val="both"/>
        <w:rPr>
          <w:rFonts w:ascii="Times New Roman" w:hAnsi="Times New Roman" w:cs="Times New Roman"/>
          <w:b/>
          <w:sz w:val="24"/>
          <w:szCs w:val="24"/>
        </w:rPr>
      </w:pPr>
      <w:r w:rsidRPr="00AA7D84">
        <w:rPr>
          <w:rFonts w:ascii="Times New Roman" w:hAnsi="Times New Roman" w:cs="Times New Roman"/>
          <w:b/>
          <w:sz w:val="24"/>
          <w:szCs w:val="24"/>
        </w:rPr>
        <w:t>Data Analysis, 201</w:t>
      </w:r>
      <w:r w:rsidR="00077613">
        <w:rPr>
          <w:rFonts w:ascii="Times New Roman" w:hAnsi="Times New Roman" w:cs="Times New Roman"/>
          <w:b/>
          <w:sz w:val="24"/>
          <w:szCs w:val="24"/>
        </w:rPr>
        <w:t>9</w:t>
      </w:r>
    </w:p>
    <w:p w:rsidR="007B2DBD" w:rsidRPr="00AA7D84" w:rsidRDefault="007B2DBD" w:rsidP="00272CBD">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ratios in table </w:t>
      </w:r>
      <w:r w:rsidR="00077613">
        <w:rPr>
          <w:rFonts w:ascii="Times New Roman" w:hAnsi="Times New Roman" w:cs="Times New Roman"/>
          <w:sz w:val="24"/>
          <w:szCs w:val="24"/>
        </w:rPr>
        <w:t>2</w:t>
      </w:r>
      <w:r w:rsidRPr="00AA7D84">
        <w:rPr>
          <w:rFonts w:ascii="Times New Roman" w:hAnsi="Times New Roman" w:cs="Times New Roman"/>
          <w:sz w:val="24"/>
          <w:szCs w:val="24"/>
        </w:rPr>
        <w:t xml:space="preserve"> tested whether the overall regression models are good fits for the data. Analysis in the table showed that the independent variables can significantly predict the rental values of the sampled house types (the dependent variable) in the study area. Table </w:t>
      </w:r>
      <w:r w:rsidR="00077613">
        <w:rPr>
          <w:rFonts w:ascii="Times New Roman" w:hAnsi="Times New Roman" w:cs="Times New Roman"/>
          <w:sz w:val="24"/>
          <w:szCs w:val="24"/>
        </w:rPr>
        <w:t>2</w:t>
      </w:r>
      <w:r w:rsidRPr="00AA7D84">
        <w:rPr>
          <w:rFonts w:ascii="Times New Roman" w:hAnsi="Times New Roman" w:cs="Times New Roman"/>
          <w:sz w:val="24"/>
          <w:szCs w:val="24"/>
        </w:rPr>
        <w:t xml:space="preserve"> showed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ratios: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(15, 457) = 25.016 for tenement buildings,</w:t>
      </w:r>
      <w:r w:rsidR="00077613">
        <w:rPr>
          <w:rFonts w:ascii="Times New Roman" w:hAnsi="Times New Roman" w:cs="Times New Roman"/>
          <w:sz w:val="24"/>
          <w:szCs w:val="24"/>
        </w:rPr>
        <w:t xml:space="preserve"> and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(11, 342) = 48.495 for one bedroom apartments</w:t>
      </w:r>
      <w:r w:rsidR="00077613">
        <w:rPr>
          <w:rFonts w:ascii="Times New Roman" w:hAnsi="Times New Roman" w:cs="Times New Roman"/>
          <w:sz w:val="24"/>
          <w:szCs w:val="24"/>
        </w:rPr>
        <w:t xml:space="preserve">. </w:t>
      </w:r>
      <w:r w:rsidRPr="00AA7D84">
        <w:rPr>
          <w:rFonts w:ascii="Times New Roman" w:hAnsi="Times New Roman" w:cs="Times New Roman"/>
          <w:sz w:val="24"/>
          <w:szCs w:val="24"/>
        </w:rPr>
        <w:t xml:space="preserve">The corresponding p- values for each of these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ratios is 0.000. The p-values are less than 0.05, thus an indication that the regressions are good fits for the data.</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Other important information is contained in the coefficient tables </w:t>
      </w:r>
      <w:r w:rsidRPr="00AA7D84">
        <w:rPr>
          <w:rFonts w:ascii="Times New Roman" w:hAnsi="Times New Roman" w:cs="Times New Roman"/>
          <w:color w:val="000000" w:themeColor="text1"/>
          <w:sz w:val="24"/>
          <w:szCs w:val="24"/>
        </w:rPr>
        <w:t>3</w:t>
      </w:r>
      <w:r w:rsidR="00272CBD">
        <w:rPr>
          <w:rFonts w:ascii="Times New Roman" w:hAnsi="Times New Roman" w:cs="Times New Roman"/>
          <w:color w:val="000000" w:themeColor="text1"/>
          <w:sz w:val="24"/>
          <w:szCs w:val="24"/>
        </w:rPr>
        <w:t xml:space="preserve"> </w:t>
      </w:r>
      <w:r w:rsidRPr="00AA7D84">
        <w:rPr>
          <w:rFonts w:ascii="Times New Roman" w:hAnsi="Times New Roman" w:cs="Times New Roman"/>
          <w:color w:val="000000" w:themeColor="text1"/>
          <w:sz w:val="24"/>
          <w:szCs w:val="24"/>
        </w:rPr>
        <w:t>and 4.</w:t>
      </w:r>
      <w:r w:rsidRPr="00AA7D84">
        <w:rPr>
          <w:rFonts w:ascii="Times New Roman" w:hAnsi="Times New Roman" w:cs="Times New Roman"/>
          <w:sz w:val="24"/>
          <w:szCs w:val="24"/>
        </w:rPr>
        <w:t xml:space="preserve"> The tables showed the standardized coefficients which enabled a comparison of the contribution of each independent variable to be made. The standardized beta coefficient compares the strength of the effect of each independent variable to the dependent variable (</w:t>
      </w:r>
      <w:proofErr w:type="spellStart"/>
      <w:r w:rsidRPr="00AA7D84">
        <w:rPr>
          <w:rFonts w:ascii="Times New Roman" w:hAnsi="Times New Roman" w:cs="Times New Roman"/>
          <w:sz w:val="24"/>
          <w:szCs w:val="24"/>
        </w:rPr>
        <w:t>Pallant</w:t>
      </w:r>
      <w:proofErr w:type="spellEnd"/>
      <w:r w:rsidRPr="00AA7D84">
        <w:rPr>
          <w:rFonts w:ascii="Times New Roman" w:hAnsi="Times New Roman" w:cs="Times New Roman"/>
          <w:sz w:val="24"/>
          <w:szCs w:val="24"/>
        </w:rPr>
        <w:t xml:space="preserve">, 2011). ‘Standardized’ means that the values for each of the different variables have been converted to the same scale so that they can be compared. The higher the absolute value of the beta coefficient, the stronger the effect. Standardized coefﬁcients are often interpreted as reﬂecting the importance of each predictor. Categorical regression standardizes the variables, so only standardized coefﬁcients are reported. These values are divided by their corresponding standard errors, yielding an </w:t>
      </w:r>
      <w:r w:rsidRPr="00AA7D84">
        <w:rPr>
          <w:rFonts w:ascii="Times New Roman" w:hAnsi="Times New Roman" w:cs="Times New Roman"/>
          <w:i/>
          <w:sz w:val="24"/>
          <w:szCs w:val="24"/>
        </w:rPr>
        <w:t>F</w:t>
      </w:r>
      <w:r w:rsidRPr="00AA7D84">
        <w:rPr>
          <w:rFonts w:ascii="Times New Roman" w:hAnsi="Times New Roman" w:cs="Times New Roman"/>
          <w:sz w:val="24"/>
          <w:szCs w:val="24"/>
        </w:rPr>
        <w:t xml:space="preserve"> test for each variable. However, the test for each variable is contingent upon the other predictors being in the model. In other words, the test determines if omission of a predictor variable from the model with all other </w:t>
      </w:r>
      <w:proofErr w:type="gramStart"/>
      <w:r w:rsidRPr="00AA7D84">
        <w:rPr>
          <w:rFonts w:ascii="Times New Roman" w:hAnsi="Times New Roman" w:cs="Times New Roman"/>
          <w:sz w:val="24"/>
          <w:szCs w:val="24"/>
        </w:rPr>
        <w:t>predictors</w:t>
      </w:r>
      <w:proofErr w:type="gramEnd"/>
      <w:r w:rsidRPr="00AA7D84">
        <w:rPr>
          <w:rFonts w:ascii="Times New Roman" w:hAnsi="Times New Roman" w:cs="Times New Roman"/>
          <w:sz w:val="24"/>
          <w:szCs w:val="24"/>
        </w:rPr>
        <w:t xml:space="preserve"> present signiﬁcantly worsens the predictive capabilities of the model. </w:t>
      </w:r>
      <w:proofErr w:type="spellStart"/>
      <w:r w:rsidRPr="00AA7D84">
        <w:rPr>
          <w:rFonts w:ascii="Times New Roman" w:hAnsi="Times New Roman" w:cs="Times New Roman"/>
          <w:sz w:val="24"/>
          <w:szCs w:val="24"/>
        </w:rPr>
        <w:t>Meulman</w:t>
      </w:r>
      <w:proofErr w:type="spellEnd"/>
      <w:r w:rsidRPr="00AA7D84">
        <w:rPr>
          <w:rFonts w:ascii="Times New Roman" w:hAnsi="Times New Roman" w:cs="Times New Roman"/>
          <w:sz w:val="24"/>
          <w:szCs w:val="24"/>
        </w:rPr>
        <w:t xml:space="preserve"> and </w:t>
      </w:r>
      <w:proofErr w:type="spellStart"/>
      <w:r w:rsidRPr="00AA7D84">
        <w:rPr>
          <w:rFonts w:ascii="Times New Roman" w:hAnsi="Times New Roman" w:cs="Times New Roman"/>
          <w:sz w:val="24"/>
          <w:szCs w:val="24"/>
        </w:rPr>
        <w:t>Heiser</w:t>
      </w:r>
      <w:proofErr w:type="spellEnd"/>
      <w:r w:rsidRPr="00AA7D84">
        <w:rPr>
          <w:rFonts w:ascii="Times New Roman" w:hAnsi="Times New Roman" w:cs="Times New Roman"/>
          <w:sz w:val="24"/>
          <w:szCs w:val="24"/>
        </w:rPr>
        <w:t xml:space="preserve"> (2012) explained that these values should not be used to omit several variables at one time for a subsequent model. Moreover, alternating least squares optimizes the quantiﬁcations, implying that these tests must be interpreted conservatively.</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However, regression coefﬁcients cannot fully describe the impact of a predictor or the relationships between the predictors (</w:t>
      </w:r>
      <w:proofErr w:type="spellStart"/>
      <w:r w:rsidRPr="00AA7D84">
        <w:rPr>
          <w:rFonts w:ascii="Times New Roman" w:hAnsi="Times New Roman" w:cs="Times New Roman"/>
          <w:sz w:val="24"/>
          <w:szCs w:val="24"/>
        </w:rPr>
        <w:t>Meulman</w:t>
      </w:r>
      <w:proofErr w:type="spellEnd"/>
      <w:r w:rsidRPr="00AA7D84">
        <w:rPr>
          <w:rFonts w:ascii="Times New Roman" w:hAnsi="Times New Roman" w:cs="Times New Roman"/>
          <w:sz w:val="24"/>
          <w:szCs w:val="24"/>
        </w:rPr>
        <w:t xml:space="preserve"> and </w:t>
      </w:r>
      <w:proofErr w:type="spellStart"/>
      <w:r w:rsidRPr="00AA7D84">
        <w:rPr>
          <w:rFonts w:ascii="Times New Roman" w:hAnsi="Times New Roman" w:cs="Times New Roman"/>
          <w:sz w:val="24"/>
          <w:szCs w:val="24"/>
        </w:rPr>
        <w:t>Heiser</w:t>
      </w:r>
      <w:proofErr w:type="spellEnd"/>
      <w:r w:rsidRPr="00AA7D84">
        <w:rPr>
          <w:rFonts w:ascii="Times New Roman" w:hAnsi="Times New Roman" w:cs="Times New Roman"/>
          <w:sz w:val="24"/>
          <w:szCs w:val="24"/>
        </w:rPr>
        <w:t xml:space="preserve">, 2012). Alternative statistics must be used in conjunction with the standardized coefﬁcients to fully explore predictor effects. The alternative statistics employed as recommended by </w:t>
      </w:r>
      <w:proofErr w:type="spellStart"/>
      <w:r w:rsidRPr="00AA7D84">
        <w:rPr>
          <w:rFonts w:ascii="Times New Roman" w:hAnsi="Times New Roman" w:cs="Times New Roman"/>
          <w:sz w:val="24"/>
          <w:szCs w:val="24"/>
        </w:rPr>
        <w:t>Meulman</w:t>
      </w:r>
      <w:proofErr w:type="spellEnd"/>
      <w:r w:rsidRPr="00AA7D84">
        <w:rPr>
          <w:rFonts w:ascii="Times New Roman" w:hAnsi="Times New Roman" w:cs="Times New Roman"/>
          <w:sz w:val="24"/>
          <w:szCs w:val="24"/>
        </w:rPr>
        <w:t xml:space="preserve"> and </w:t>
      </w:r>
      <w:proofErr w:type="spellStart"/>
      <w:r w:rsidRPr="00AA7D84">
        <w:rPr>
          <w:rFonts w:ascii="Times New Roman" w:hAnsi="Times New Roman" w:cs="Times New Roman"/>
          <w:sz w:val="24"/>
          <w:szCs w:val="24"/>
        </w:rPr>
        <w:t>Heiser</w:t>
      </w:r>
      <w:proofErr w:type="spellEnd"/>
      <w:r w:rsidRPr="00AA7D84">
        <w:rPr>
          <w:rFonts w:ascii="Times New Roman" w:hAnsi="Times New Roman" w:cs="Times New Roman"/>
          <w:sz w:val="24"/>
          <w:szCs w:val="24"/>
        </w:rPr>
        <w:t xml:space="preserve"> (2012) are the correlations (zero-order) and importance indexes. </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zero-order correlation is simply the correlation between each predictor and the dependent variable, after these variables have undergone the appropriate transformations. </w:t>
      </w:r>
      <w:r w:rsidRPr="00AA7D84">
        <w:rPr>
          <w:rFonts w:ascii="Times New Roman" w:hAnsi="Times New Roman" w:cs="Times New Roman"/>
          <w:sz w:val="24"/>
          <w:szCs w:val="24"/>
        </w:rPr>
        <w:lastRenderedPageBreak/>
        <w:t xml:space="preserve">Nathans, Oswald, &amp; </w:t>
      </w:r>
      <w:proofErr w:type="spellStart"/>
      <w:r w:rsidRPr="00AA7D84">
        <w:rPr>
          <w:rFonts w:ascii="Times New Roman" w:hAnsi="Times New Roman" w:cs="Times New Roman"/>
          <w:sz w:val="24"/>
          <w:szCs w:val="24"/>
        </w:rPr>
        <w:t>Nimon</w:t>
      </w:r>
      <w:proofErr w:type="spellEnd"/>
      <w:r w:rsidRPr="00AA7D84">
        <w:rPr>
          <w:rFonts w:ascii="Times New Roman" w:hAnsi="Times New Roman" w:cs="Times New Roman"/>
          <w:sz w:val="24"/>
          <w:szCs w:val="24"/>
        </w:rPr>
        <w:t xml:space="preserve"> (2012) described the zero-order correlation as a measure of direct effect which describes the magnitude and direction of the relationship between an independent variable and the dependent variable without accounting for the contributions of other independent variables in the regression equation. Comparing the zero-order correlation coefficients in this research emphasizes the magnitude and direction of relationship between each of the sampled </w:t>
      </w:r>
      <w:r w:rsidR="00272CBD">
        <w:rPr>
          <w:rFonts w:ascii="Times New Roman" w:hAnsi="Times New Roman" w:cs="Times New Roman"/>
          <w:sz w:val="24"/>
          <w:szCs w:val="24"/>
        </w:rPr>
        <w:t>amenities</w:t>
      </w:r>
      <w:r w:rsidRPr="00AA7D84">
        <w:rPr>
          <w:rFonts w:ascii="Times New Roman" w:hAnsi="Times New Roman" w:cs="Times New Roman"/>
          <w:sz w:val="24"/>
          <w:szCs w:val="24"/>
        </w:rPr>
        <w:t xml:space="preserve"> and rental values of each of the house types. Negative correlation coefficients indicate that the respective </w:t>
      </w:r>
      <w:r w:rsidR="00272CBD">
        <w:rPr>
          <w:rFonts w:ascii="Times New Roman" w:hAnsi="Times New Roman" w:cs="Times New Roman"/>
          <w:sz w:val="24"/>
          <w:szCs w:val="24"/>
        </w:rPr>
        <w:t>amenities</w:t>
      </w:r>
      <w:r w:rsidRPr="00AA7D84">
        <w:rPr>
          <w:rFonts w:ascii="Times New Roman" w:hAnsi="Times New Roman" w:cs="Times New Roman"/>
          <w:sz w:val="24"/>
          <w:szCs w:val="24"/>
        </w:rPr>
        <w:t xml:space="preserve"> had negative relationships with rental values, while positive correlation coefficients implied positive relationships with rental values. Negative relationships translates to a decline in rental values as a result of closer distances to the </w:t>
      </w:r>
      <w:r w:rsidR="00554AFB">
        <w:rPr>
          <w:rFonts w:ascii="Times New Roman" w:hAnsi="Times New Roman" w:cs="Times New Roman"/>
          <w:sz w:val="24"/>
          <w:szCs w:val="24"/>
        </w:rPr>
        <w:t>amenities</w:t>
      </w:r>
      <w:r w:rsidRPr="00AA7D84">
        <w:rPr>
          <w:rFonts w:ascii="Times New Roman" w:hAnsi="Times New Roman" w:cs="Times New Roman"/>
          <w:sz w:val="24"/>
          <w:szCs w:val="24"/>
        </w:rPr>
        <w:t xml:space="preserve">, while positive relationships translates to an enhancement or improvement in rental values as a result of closer distances to the concerned </w:t>
      </w:r>
      <w:r w:rsidR="00554AFB">
        <w:rPr>
          <w:rFonts w:ascii="Times New Roman" w:hAnsi="Times New Roman" w:cs="Times New Roman"/>
          <w:sz w:val="24"/>
          <w:szCs w:val="24"/>
        </w:rPr>
        <w:t>amenity</w:t>
      </w:r>
      <w:r w:rsidRPr="00AA7D84">
        <w:rPr>
          <w:rFonts w:ascii="Times New Roman" w:hAnsi="Times New Roman" w:cs="Times New Roman"/>
          <w:sz w:val="24"/>
          <w:szCs w:val="24"/>
        </w:rPr>
        <w:t>.</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‘Importance’ on the other hand (which is given in the 3</w:t>
      </w:r>
      <w:r w:rsidRPr="00AA7D84">
        <w:rPr>
          <w:rFonts w:ascii="Times New Roman" w:hAnsi="Times New Roman" w:cs="Times New Roman"/>
          <w:sz w:val="24"/>
          <w:szCs w:val="24"/>
          <w:vertAlign w:val="superscript"/>
        </w:rPr>
        <w:t>rd</w:t>
      </w:r>
      <w:r w:rsidRPr="00AA7D84">
        <w:rPr>
          <w:rFonts w:ascii="Times New Roman" w:hAnsi="Times New Roman" w:cs="Times New Roman"/>
          <w:sz w:val="24"/>
          <w:szCs w:val="24"/>
        </w:rPr>
        <w:t xml:space="preserve"> column of </w:t>
      </w:r>
      <w:r w:rsidRPr="00AA7D84">
        <w:rPr>
          <w:rFonts w:ascii="Times New Roman" w:hAnsi="Times New Roman" w:cs="Times New Roman"/>
          <w:color w:val="000000" w:themeColor="text1"/>
          <w:sz w:val="24"/>
          <w:szCs w:val="24"/>
        </w:rPr>
        <w:t xml:space="preserve">tables </w:t>
      </w:r>
      <w:r w:rsidR="00554AFB">
        <w:rPr>
          <w:rFonts w:ascii="Times New Roman" w:hAnsi="Times New Roman" w:cs="Times New Roman"/>
          <w:color w:val="000000" w:themeColor="text1"/>
          <w:sz w:val="24"/>
          <w:szCs w:val="24"/>
        </w:rPr>
        <w:t>5</w:t>
      </w:r>
      <w:r w:rsidRPr="00AA7D84">
        <w:rPr>
          <w:rFonts w:ascii="Times New Roman" w:hAnsi="Times New Roman" w:cs="Times New Roman"/>
          <w:color w:val="000000" w:themeColor="text1"/>
          <w:sz w:val="24"/>
          <w:szCs w:val="24"/>
        </w:rPr>
        <w:t xml:space="preserve"> and </w:t>
      </w:r>
      <w:r w:rsidR="00554AFB">
        <w:rPr>
          <w:rFonts w:ascii="Times New Roman" w:hAnsi="Times New Roman" w:cs="Times New Roman"/>
          <w:color w:val="000000" w:themeColor="text1"/>
          <w:sz w:val="24"/>
          <w:szCs w:val="24"/>
        </w:rPr>
        <w:t>6</w:t>
      </w:r>
      <w:r w:rsidRPr="00AA7D84">
        <w:rPr>
          <w:rFonts w:ascii="Times New Roman" w:hAnsi="Times New Roman" w:cs="Times New Roman"/>
          <w:color w:val="000000" w:themeColor="text1"/>
          <w:sz w:val="24"/>
          <w:szCs w:val="24"/>
        </w:rPr>
        <w:t xml:space="preserve">) </w:t>
      </w:r>
      <w:r w:rsidRPr="00AA7D84">
        <w:rPr>
          <w:rFonts w:ascii="Times New Roman" w:hAnsi="Times New Roman" w:cs="Times New Roman"/>
          <w:sz w:val="24"/>
          <w:szCs w:val="24"/>
        </w:rPr>
        <w:t>simply indicates the importance of each predictor using the Pratt’s measure. The importance index uniquely reflects the direct and total effects of each of the independent variables (</w:t>
      </w:r>
      <w:proofErr w:type="spellStart"/>
      <w:r w:rsidRPr="00AA7D84">
        <w:rPr>
          <w:rFonts w:ascii="Times New Roman" w:hAnsi="Times New Roman" w:cs="Times New Roman"/>
          <w:sz w:val="24"/>
          <w:szCs w:val="24"/>
        </w:rPr>
        <w:t>LeBreton</w:t>
      </w:r>
      <w:proofErr w:type="spellEnd"/>
      <w:r w:rsidRPr="00AA7D84">
        <w:rPr>
          <w:rFonts w:ascii="Times New Roman" w:hAnsi="Times New Roman" w:cs="Times New Roman"/>
          <w:sz w:val="24"/>
          <w:szCs w:val="24"/>
        </w:rPr>
        <w:t xml:space="preserve">, </w:t>
      </w:r>
      <w:proofErr w:type="spellStart"/>
      <w:r w:rsidRPr="00AA7D84">
        <w:rPr>
          <w:rFonts w:ascii="Times New Roman" w:hAnsi="Times New Roman" w:cs="Times New Roman"/>
          <w:sz w:val="24"/>
          <w:szCs w:val="24"/>
        </w:rPr>
        <w:t>Ployart</w:t>
      </w:r>
      <w:proofErr w:type="spellEnd"/>
      <w:r w:rsidRPr="00AA7D84">
        <w:rPr>
          <w:rFonts w:ascii="Times New Roman" w:hAnsi="Times New Roman" w:cs="Times New Roman"/>
          <w:sz w:val="24"/>
          <w:szCs w:val="24"/>
        </w:rPr>
        <w:t xml:space="preserve">, &amp; Ladd, 2004). It is roughly equivalent to the product of the regression coefficient and zero-order correlation (Moss, 2016). The importance index is primarily used to uncover suppressor variables, and it enables rank orderings of variable importance based on the partitioning of the regression coefficient (Nathans, </w:t>
      </w:r>
      <w:r w:rsidRPr="00AA7D84">
        <w:rPr>
          <w:rFonts w:ascii="Times New Roman" w:hAnsi="Times New Roman" w:cs="Times New Roman"/>
          <w:i/>
          <w:sz w:val="24"/>
          <w:szCs w:val="24"/>
        </w:rPr>
        <w:t>et al</w:t>
      </w:r>
      <w:r w:rsidRPr="00AA7D84">
        <w:rPr>
          <w:rFonts w:ascii="Times New Roman" w:hAnsi="Times New Roman" w:cs="Times New Roman"/>
          <w:sz w:val="24"/>
          <w:szCs w:val="24"/>
        </w:rPr>
        <w:t xml:space="preserve">, 2012). </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regression coefficients (beta coefficients), zero-order correlation and the importance indexes which served to establish the impacts of externalities on each of the </w:t>
      </w:r>
      <w:r w:rsidR="00554AFB">
        <w:rPr>
          <w:rFonts w:ascii="Times New Roman" w:hAnsi="Times New Roman" w:cs="Times New Roman"/>
          <w:sz w:val="24"/>
          <w:szCs w:val="24"/>
        </w:rPr>
        <w:t xml:space="preserve">two </w:t>
      </w:r>
      <w:r w:rsidRPr="00AA7D84">
        <w:rPr>
          <w:rFonts w:ascii="Times New Roman" w:hAnsi="Times New Roman" w:cs="Times New Roman"/>
          <w:sz w:val="24"/>
          <w:szCs w:val="24"/>
        </w:rPr>
        <w:t>house types are presented as follows:</w:t>
      </w:r>
    </w:p>
    <w:p w:rsidR="007B2DBD" w:rsidRPr="00AA7D84" w:rsidRDefault="007B2DBD" w:rsidP="00554AFB">
      <w:pPr>
        <w:tabs>
          <w:tab w:val="left" w:pos="1134"/>
          <w:tab w:val="left" w:pos="1418"/>
        </w:tabs>
        <w:spacing w:after="0"/>
        <w:ind w:right="95"/>
        <w:rPr>
          <w:rFonts w:ascii="Times New Roman" w:hAnsi="Times New Roman" w:cs="Times New Roman"/>
          <w:b/>
          <w:sz w:val="24"/>
          <w:szCs w:val="24"/>
        </w:rPr>
      </w:pPr>
      <w:r w:rsidRPr="00AA7D84">
        <w:rPr>
          <w:rFonts w:ascii="Times New Roman" w:hAnsi="Times New Roman" w:cs="Times New Roman"/>
          <w:b/>
          <w:sz w:val="24"/>
          <w:szCs w:val="24"/>
        </w:rPr>
        <w:t>The impacts of externalities on the rental values of Tenement Buildings</w:t>
      </w:r>
    </w:p>
    <w:p w:rsidR="007B2DBD" w:rsidRPr="00AA7D84" w:rsidRDefault="007B2DBD" w:rsidP="00554AFB">
      <w:pPr>
        <w:spacing w:after="0"/>
        <w:ind w:right="95"/>
        <w:jc w:val="both"/>
        <w:rPr>
          <w:rFonts w:ascii="Times New Roman" w:hAnsi="Times New Roman" w:cs="Times New Roman"/>
          <w:sz w:val="24"/>
          <w:szCs w:val="24"/>
        </w:rPr>
      </w:pPr>
      <w:r w:rsidRPr="00AA7D84">
        <w:rPr>
          <w:rFonts w:ascii="Times New Roman" w:hAnsi="Times New Roman" w:cs="Times New Roman"/>
          <w:sz w:val="24"/>
          <w:szCs w:val="24"/>
        </w:rPr>
        <w:t>This is further analysed thus:</w:t>
      </w:r>
    </w:p>
    <w:p w:rsidR="007B2DBD" w:rsidRPr="00AA7D84" w:rsidRDefault="007B2DBD" w:rsidP="00554AFB">
      <w:pPr>
        <w:spacing w:after="0"/>
        <w:ind w:right="95"/>
        <w:rPr>
          <w:rFonts w:ascii="Times New Roman" w:hAnsi="Times New Roman" w:cs="Times New Roman"/>
          <w:b/>
          <w:sz w:val="24"/>
          <w:szCs w:val="24"/>
        </w:rPr>
      </w:pPr>
      <w:r w:rsidRPr="00AA7D84">
        <w:rPr>
          <w:rFonts w:ascii="Times New Roman" w:hAnsi="Times New Roman" w:cs="Times New Roman"/>
          <w:b/>
          <w:sz w:val="24"/>
          <w:szCs w:val="24"/>
        </w:rPr>
        <w:t>Table 3:   Beta Coefficients of the independent variables (Tenement buildings)</w:t>
      </w:r>
    </w:p>
    <w:tbl>
      <w:tblPr>
        <w:tblW w:w="8946" w:type="dxa"/>
        <w:tblInd w:w="93" w:type="dxa"/>
        <w:tblLook w:val="04A0" w:firstRow="1" w:lastRow="0" w:firstColumn="1" w:lastColumn="0" w:noHBand="0" w:noVBand="1"/>
      </w:tblPr>
      <w:tblGrid>
        <w:gridCol w:w="3306"/>
        <w:gridCol w:w="973"/>
        <w:gridCol w:w="1579"/>
        <w:gridCol w:w="863"/>
        <w:gridCol w:w="1091"/>
        <w:gridCol w:w="1134"/>
      </w:tblGrid>
      <w:tr w:rsidR="007B2DBD" w:rsidRPr="00AA7D84" w:rsidTr="007B2DBD">
        <w:trPr>
          <w:trHeight w:val="184"/>
        </w:trPr>
        <w:tc>
          <w:tcPr>
            <w:tcW w:w="3306" w:type="dxa"/>
            <w:vMerge w:val="restart"/>
            <w:tcBorders>
              <w:top w:val="single" w:sz="4" w:space="0" w:color="auto"/>
              <w:left w:val="nil"/>
              <w:bottom w:val="single" w:sz="4" w:space="0" w:color="000000"/>
              <w:right w:val="nil"/>
            </w:tcBorders>
            <w:shd w:val="clear" w:color="auto" w:fill="auto"/>
            <w:vAlign w:val="bottom"/>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2552" w:type="dxa"/>
            <w:gridSpan w:val="2"/>
            <w:tcBorders>
              <w:top w:val="single" w:sz="4" w:space="0" w:color="auto"/>
              <w:left w:val="nil"/>
              <w:bottom w:val="single" w:sz="4" w:space="0" w:color="auto"/>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Standardized Coefficients</w:t>
            </w:r>
          </w:p>
        </w:tc>
        <w:tc>
          <w:tcPr>
            <w:tcW w:w="863" w:type="dxa"/>
            <w:vMerge w:val="restart"/>
            <w:tcBorders>
              <w:top w:val="single" w:sz="4" w:space="0" w:color="auto"/>
              <w:left w:val="nil"/>
              <w:bottom w:val="single" w:sz="4" w:space="0" w:color="000000"/>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proofErr w:type="spellStart"/>
            <w:r w:rsidRPr="00AA7D84">
              <w:rPr>
                <w:rFonts w:ascii="Times New Roman" w:eastAsia="Times New Roman" w:hAnsi="Times New Roman" w:cs="Times New Roman"/>
                <w:color w:val="000000"/>
                <w:sz w:val="24"/>
                <w:szCs w:val="24"/>
                <w:lang w:eastAsia="en-GB"/>
              </w:rPr>
              <w:t>Df</w:t>
            </w:r>
            <w:proofErr w:type="spellEnd"/>
          </w:p>
        </w:tc>
        <w:tc>
          <w:tcPr>
            <w:tcW w:w="1091" w:type="dxa"/>
            <w:vMerge w:val="restart"/>
            <w:tcBorders>
              <w:top w:val="single" w:sz="4" w:space="0" w:color="auto"/>
              <w:left w:val="nil"/>
              <w:bottom w:val="single" w:sz="4" w:space="0" w:color="000000"/>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F</w:t>
            </w:r>
          </w:p>
        </w:tc>
        <w:tc>
          <w:tcPr>
            <w:tcW w:w="1134" w:type="dxa"/>
            <w:vMerge w:val="restart"/>
            <w:tcBorders>
              <w:top w:val="single" w:sz="4" w:space="0" w:color="auto"/>
              <w:left w:val="nil"/>
              <w:bottom w:val="single" w:sz="4" w:space="0" w:color="000000"/>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Sig.</w:t>
            </w:r>
          </w:p>
        </w:tc>
      </w:tr>
      <w:tr w:rsidR="007B2DBD" w:rsidRPr="00AA7D84" w:rsidTr="007B2DBD">
        <w:trPr>
          <w:trHeight w:val="696"/>
        </w:trPr>
        <w:tc>
          <w:tcPr>
            <w:tcW w:w="3306" w:type="dxa"/>
            <w:vMerge/>
            <w:tcBorders>
              <w:top w:val="single" w:sz="4" w:space="0" w:color="auto"/>
              <w:left w:val="nil"/>
              <w:bottom w:val="single" w:sz="4" w:space="0" w:color="000000"/>
              <w:right w:val="nil"/>
            </w:tcBorders>
            <w:vAlign w:val="center"/>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p>
        </w:tc>
        <w:tc>
          <w:tcPr>
            <w:tcW w:w="973" w:type="dxa"/>
            <w:tcBorders>
              <w:top w:val="nil"/>
              <w:left w:val="nil"/>
              <w:bottom w:val="single" w:sz="4" w:space="0" w:color="auto"/>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Beta</w:t>
            </w:r>
          </w:p>
        </w:tc>
        <w:tc>
          <w:tcPr>
            <w:tcW w:w="1579" w:type="dxa"/>
            <w:tcBorders>
              <w:top w:val="nil"/>
              <w:left w:val="nil"/>
              <w:bottom w:val="single" w:sz="4" w:space="0" w:color="auto"/>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Bootstrap (1000) Estimate of Std. Error</w:t>
            </w:r>
          </w:p>
        </w:tc>
        <w:tc>
          <w:tcPr>
            <w:tcW w:w="863" w:type="dxa"/>
            <w:vMerge/>
            <w:tcBorders>
              <w:top w:val="single" w:sz="4" w:space="0" w:color="auto"/>
              <w:left w:val="nil"/>
              <w:bottom w:val="single" w:sz="4" w:space="0" w:color="000000"/>
              <w:right w:val="nil"/>
            </w:tcBorders>
            <w:vAlign w:val="center"/>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p>
        </w:tc>
        <w:tc>
          <w:tcPr>
            <w:tcW w:w="1091" w:type="dxa"/>
            <w:vMerge/>
            <w:tcBorders>
              <w:top w:val="single" w:sz="4" w:space="0" w:color="auto"/>
              <w:left w:val="nil"/>
              <w:bottom w:val="single" w:sz="4" w:space="0" w:color="000000"/>
              <w:right w:val="nil"/>
            </w:tcBorders>
            <w:vAlign w:val="center"/>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p>
        </w:tc>
        <w:tc>
          <w:tcPr>
            <w:tcW w:w="1134" w:type="dxa"/>
            <w:vMerge/>
            <w:tcBorders>
              <w:top w:val="single" w:sz="4" w:space="0" w:color="auto"/>
              <w:left w:val="nil"/>
              <w:bottom w:val="single" w:sz="4" w:space="0" w:color="000000"/>
              <w:right w:val="nil"/>
            </w:tcBorders>
            <w:vAlign w:val="center"/>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p>
        </w:tc>
      </w:tr>
      <w:tr w:rsidR="007B2DBD" w:rsidRPr="00AA7D84" w:rsidTr="007B2DBD">
        <w:trPr>
          <w:trHeight w:val="287"/>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Shopping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-.127</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.039</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10.681</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134"/>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Educational Institutions</w:t>
            </w:r>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.088</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.038</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5.404</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.005</w:t>
            </w:r>
          </w:p>
        </w:tc>
      </w:tr>
      <w:tr w:rsidR="007B2DBD" w:rsidRPr="00AA7D84" w:rsidTr="007B2DBD">
        <w:trPr>
          <w:trHeight w:val="125"/>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Health care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-.064</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.046</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1.990</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.159</w:t>
            </w:r>
          </w:p>
        </w:tc>
      </w:tr>
      <w:tr w:rsidR="007B2DBD" w:rsidRPr="00AA7D84" w:rsidTr="007B2DBD">
        <w:trPr>
          <w:trHeight w:val="171"/>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Recreation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.090</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.057</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2.455</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.118</w:t>
            </w:r>
          </w:p>
        </w:tc>
      </w:tr>
      <w:tr w:rsidR="007B2DBD" w:rsidRPr="00AA7D84" w:rsidTr="007B2DBD">
        <w:trPr>
          <w:trHeight w:val="272"/>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Major Roads</w:t>
            </w:r>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.232</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.039</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35.829</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147"/>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Refuse Dumps</w:t>
            </w:r>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-.115</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.036</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10.053</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277"/>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Security of the Neighbourhood</w:t>
            </w:r>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.281</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.037</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59.340</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125"/>
        </w:trPr>
        <w:tc>
          <w:tcPr>
            <w:tcW w:w="330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Electricity supply</w:t>
            </w:r>
          </w:p>
        </w:tc>
        <w:tc>
          <w:tcPr>
            <w:tcW w:w="97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.384</w:t>
            </w:r>
          </w:p>
        </w:tc>
        <w:tc>
          <w:tcPr>
            <w:tcW w:w="1579"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.037</w:t>
            </w:r>
          </w:p>
        </w:tc>
        <w:tc>
          <w:tcPr>
            <w:tcW w:w="863"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091"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104.799</w:t>
            </w:r>
          </w:p>
        </w:tc>
        <w:tc>
          <w:tcPr>
            <w:tcW w:w="1134"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195"/>
        </w:trPr>
        <w:tc>
          <w:tcPr>
            <w:tcW w:w="3306" w:type="dxa"/>
            <w:tcBorders>
              <w:top w:val="nil"/>
              <w:left w:val="nil"/>
              <w:bottom w:val="double" w:sz="6" w:space="0" w:color="auto"/>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Water supply</w:t>
            </w:r>
          </w:p>
        </w:tc>
        <w:tc>
          <w:tcPr>
            <w:tcW w:w="973"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.162</w:t>
            </w:r>
          </w:p>
        </w:tc>
        <w:tc>
          <w:tcPr>
            <w:tcW w:w="1579"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.036</w:t>
            </w:r>
          </w:p>
        </w:tc>
        <w:tc>
          <w:tcPr>
            <w:tcW w:w="863"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091"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20.069</w:t>
            </w:r>
          </w:p>
        </w:tc>
        <w:tc>
          <w:tcPr>
            <w:tcW w:w="1134"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bl>
    <w:p w:rsidR="007B2DBD" w:rsidRPr="00AA7D84" w:rsidRDefault="007B2DBD" w:rsidP="00554AFB">
      <w:pPr>
        <w:ind w:right="95"/>
        <w:rPr>
          <w:rFonts w:ascii="Times New Roman" w:hAnsi="Times New Roman" w:cs="Times New Roman"/>
          <w:b/>
          <w:sz w:val="24"/>
          <w:szCs w:val="24"/>
        </w:rPr>
      </w:pPr>
      <w:r w:rsidRPr="00AA7D84">
        <w:rPr>
          <w:rFonts w:ascii="Times New Roman" w:hAnsi="Times New Roman" w:cs="Times New Roman"/>
          <w:b/>
          <w:sz w:val="24"/>
          <w:szCs w:val="24"/>
        </w:rPr>
        <w:t>Data Analysis, 201</w:t>
      </w:r>
      <w:r w:rsidR="007D374C">
        <w:rPr>
          <w:rFonts w:ascii="Times New Roman" w:hAnsi="Times New Roman" w:cs="Times New Roman"/>
          <w:b/>
          <w:sz w:val="24"/>
          <w:szCs w:val="24"/>
        </w:rPr>
        <w:t>9</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Figures in the last column of table 3 (known as the p-values) tell whether the respective independent variables make a significant contribution to the dependent variable. Variables whose p-values are less than 0.05 imply that the variables are making a significant unique </w:t>
      </w:r>
      <w:r w:rsidRPr="00AA7D84">
        <w:rPr>
          <w:rFonts w:ascii="Times New Roman" w:hAnsi="Times New Roman" w:cs="Times New Roman"/>
          <w:sz w:val="24"/>
          <w:szCs w:val="24"/>
        </w:rPr>
        <w:lastRenderedPageBreak/>
        <w:t xml:space="preserve">contribution to the dependent variable. A careful look at table 3 showed that the distance of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educational institutions, major roads and refuse dumps to tenement buildings made significant unique contributions to the rental values of these buildings in the study area. Others are: the level of security of the area, electricity supply and water supply. The listed independent variables have p-values of less than or equal to 0.05.</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An examination of the standardized beta coefficients in the second column of table 3 further indicated that electricity supply makes the strongest unique contribution to explaining the rental values of tenement buildings in the study area. This is as a result of it having the highest beta coefficient (0.384). Other externalities which also contribute strongly in explaining the rental values of tenement buildings in the study area are: security of the neighbourhood (beta coefficient = 0.281), proximity to major roads (beta coefficient = 0.232), and sources of water supply (beta coefficient = 0.162). As further shown in the table, the proximity of dwelling units to health care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and recreation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did not contribute significantly to the rental values of tenement buildings in the study area since the p-values for these variables exceeded 0.05. The p-values for these variables are 0.159 and 0.118 respectively. </w:t>
      </w:r>
    </w:p>
    <w:p w:rsidR="007B2DBD" w:rsidRPr="00AA7D84" w:rsidRDefault="007B2DBD" w:rsidP="00554AFB">
      <w:pPr>
        <w:spacing w:after="0"/>
        <w:ind w:left="1134" w:right="95" w:hanging="1134"/>
        <w:jc w:val="both"/>
        <w:rPr>
          <w:rFonts w:ascii="Times New Roman" w:hAnsi="Times New Roman" w:cs="Times New Roman"/>
          <w:b/>
          <w:sz w:val="24"/>
          <w:szCs w:val="24"/>
        </w:rPr>
      </w:pPr>
      <w:r w:rsidRPr="00AA7D84">
        <w:rPr>
          <w:rFonts w:ascii="Times New Roman" w:hAnsi="Times New Roman" w:cs="Times New Roman"/>
          <w:b/>
          <w:sz w:val="24"/>
          <w:szCs w:val="24"/>
        </w:rPr>
        <w:t xml:space="preserve">Table </w:t>
      </w:r>
      <w:r w:rsidR="00554AFB">
        <w:rPr>
          <w:rFonts w:ascii="Times New Roman" w:hAnsi="Times New Roman" w:cs="Times New Roman"/>
          <w:b/>
          <w:sz w:val="24"/>
          <w:szCs w:val="24"/>
        </w:rPr>
        <w:t>4</w:t>
      </w:r>
      <w:r w:rsidRPr="00AA7D84">
        <w:rPr>
          <w:rFonts w:ascii="Times New Roman" w:hAnsi="Times New Roman" w:cs="Times New Roman"/>
          <w:b/>
          <w:sz w:val="24"/>
          <w:szCs w:val="24"/>
        </w:rPr>
        <w:t xml:space="preserve">: Zero-order Correlation and Importance Index for the relationship between externalities and the rental values of tenement buildings </w:t>
      </w:r>
    </w:p>
    <w:tbl>
      <w:tblPr>
        <w:tblW w:w="8946" w:type="dxa"/>
        <w:tblInd w:w="93" w:type="dxa"/>
        <w:tblLook w:val="04A0" w:firstRow="1" w:lastRow="0" w:firstColumn="1" w:lastColumn="0" w:noHBand="0" w:noVBand="1"/>
      </w:tblPr>
      <w:tblGrid>
        <w:gridCol w:w="4126"/>
        <w:gridCol w:w="2410"/>
        <w:gridCol w:w="2410"/>
      </w:tblGrid>
      <w:tr w:rsidR="007B2DBD" w:rsidRPr="00AA7D84" w:rsidTr="007B2DBD">
        <w:trPr>
          <w:trHeight w:val="630"/>
        </w:trPr>
        <w:tc>
          <w:tcPr>
            <w:tcW w:w="4126" w:type="dxa"/>
            <w:tcBorders>
              <w:top w:val="single" w:sz="4" w:space="0" w:color="auto"/>
              <w:left w:val="nil"/>
              <w:bottom w:val="single" w:sz="4" w:space="0" w:color="auto"/>
              <w:right w:val="nil"/>
            </w:tcBorders>
            <w:shd w:val="clear" w:color="auto" w:fill="auto"/>
            <w:noWrap/>
            <w:vAlign w:val="bottom"/>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Independent Variables</w:t>
            </w:r>
          </w:p>
        </w:tc>
        <w:tc>
          <w:tcPr>
            <w:tcW w:w="2410" w:type="dxa"/>
            <w:tcBorders>
              <w:top w:val="single" w:sz="4" w:space="0" w:color="auto"/>
              <w:left w:val="nil"/>
              <w:bottom w:val="single" w:sz="4" w:space="0" w:color="auto"/>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Zero-Order Correlation</w:t>
            </w:r>
          </w:p>
        </w:tc>
        <w:tc>
          <w:tcPr>
            <w:tcW w:w="2410" w:type="dxa"/>
            <w:tcBorders>
              <w:top w:val="single" w:sz="4" w:space="0" w:color="auto"/>
              <w:left w:val="nil"/>
              <w:bottom w:val="single" w:sz="4" w:space="0" w:color="auto"/>
              <w:right w:val="nil"/>
            </w:tcBorders>
            <w:shd w:val="clear" w:color="auto" w:fill="auto"/>
            <w:vAlign w:val="bottom"/>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Importance</w:t>
            </w:r>
          </w:p>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Index</w:t>
            </w:r>
          </w:p>
        </w:tc>
      </w:tr>
      <w:tr w:rsidR="007B2DBD" w:rsidRPr="00AA7D84" w:rsidTr="007B2DBD">
        <w:trPr>
          <w:trHeight w:val="345"/>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Shopping complexes*</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-.204</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.057</w:t>
            </w:r>
          </w:p>
        </w:tc>
      </w:tr>
      <w:tr w:rsidR="007B2DBD" w:rsidRPr="00AA7D84" w:rsidTr="007B2DBD">
        <w:trPr>
          <w:trHeight w:val="330"/>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Educational Institutions*</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.093</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.018</w:t>
            </w:r>
          </w:p>
        </w:tc>
      </w:tr>
      <w:tr w:rsidR="007B2DBD" w:rsidRPr="00AA7D84" w:rsidTr="007B2DBD">
        <w:trPr>
          <w:trHeight w:val="211"/>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Health care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-.042</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.006</w:t>
            </w:r>
          </w:p>
        </w:tc>
      </w:tr>
      <w:tr w:rsidR="007B2DBD" w:rsidRPr="00AA7D84" w:rsidTr="007B2DBD">
        <w:trPr>
          <w:trHeight w:val="173"/>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Recreation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.051</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.010</w:t>
            </w:r>
          </w:p>
        </w:tc>
      </w:tr>
      <w:tr w:rsidR="007B2DBD" w:rsidRPr="00AA7D84" w:rsidTr="007B2DBD">
        <w:trPr>
          <w:trHeight w:val="345"/>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Major Roads*</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.285</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.147</w:t>
            </w:r>
          </w:p>
        </w:tc>
      </w:tr>
      <w:tr w:rsidR="007B2DBD" w:rsidRPr="00AA7D84" w:rsidTr="007B2DBD">
        <w:trPr>
          <w:trHeight w:val="83"/>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Refuse Dumps*</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-.203</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.052</w:t>
            </w:r>
          </w:p>
        </w:tc>
      </w:tr>
      <w:tr w:rsidR="007B2DBD" w:rsidRPr="00AA7D84" w:rsidTr="007B2DBD">
        <w:trPr>
          <w:trHeight w:val="187"/>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Security of the Neighbourhood*</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.319</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.199</w:t>
            </w:r>
          </w:p>
        </w:tc>
      </w:tr>
      <w:tr w:rsidR="007B2DBD" w:rsidRPr="00AA7D84" w:rsidTr="007B2DBD">
        <w:trPr>
          <w:trHeight w:val="345"/>
        </w:trPr>
        <w:tc>
          <w:tcPr>
            <w:tcW w:w="4126" w:type="dxa"/>
            <w:tcBorders>
              <w:top w:val="nil"/>
              <w:left w:val="nil"/>
              <w:bottom w:val="nil"/>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Electricity supply*</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.492</w:t>
            </w:r>
          </w:p>
        </w:tc>
        <w:tc>
          <w:tcPr>
            <w:tcW w:w="2410" w:type="dxa"/>
            <w:tcBorders>
              <w:top w:val="nil"/>
              <w:left w:val="nil"/>
              <w:bottom w:val="nil"/>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.419</w:t>
            </w:r>
          </w:p>
        </w:tc>
      </w:tr>
      <w:tr w:rsidR="007B2DBD" w:rsidRPr="00AA7D84" w:rsidTr="007B2DBD">
        <w:trPr>
          <w:trHeight w:val="239"/>
        </w:trPr>
        <w:tc>
          <w:tcPr>
            <w:tcW w:w="4126" w:type="dxa"/>
            <w:tcBorders>
              <w:top w:val="nil"/>
              <w:left w:val="nil"/>
              <w:bottom w:val="double" w:sz="6" w:space="0" w:color="auto"/>
              <w:right w:val="nil"/>
            </w:tcBorders>
            <w:shd w:val="clear" w:color="auto" w:fill="auto"/>
            <w:hideMark/>
          </w:tcPr>
          <w:p w:rsidR="007B2DBD" w:rsidRPr="00AA7D84" w:rsidRDefault="007B2DBD" w:rsidP="007D374C">
            <w:pPr>
              <w:spacing w:after="0" w:line="24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Sources of Water supply*</w:t>
            </w:r>
          </w:p>
        </w:tc>
        <w:tc>
          <w:tcPr>
            <w:tcW w:w="2410"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.256</w:t>
            </w:r>
          </w:p>
        </w:tc>
        <w:tc>
          <w:tcPr>
            <w:tcW w:w="2410" w:type="dxa"/>
            <w:tcBorders>
              <w:top w:val="nil"/>
              <w:left w:val="nil"/>
              <w:bottom w:val="double" w:sz="6" w:space="0" w:color="auto"/>
              <w:right w:val="nil"/>
            </w:tcBorders>
            <w:shd w:val="clear" w:color="auto" w:fill="auto"/>
            <w:noWrap/>
            <w:vAlign w:val="center"/>
            <w:hideMark/>
          </w:tcPr>
          <w:p w:rsidR="007B2DBD" w:rsidRPr="00AA7D84" w:rsidRDefault="007B2DBD" w:rsidP="007D374C">
            <w:pPr>
              <w:spacing w:after="0" w:line="24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.092</w:t>
            </w:r>
          </w:p>
        </w:tc>
      </w:tr>
    </w:tbl>
    <w:p w:rsidR="007B2DBD" w:rsidRPr="00AA7D84" w:rsidRDefault="007B2DBD" w:rsidP="00554AFB">
      <w:pPr>
        <w:spacing w:after="0"/>
        <w:ind w:right="95"/>
        <w:jc w:val="both"/>
        <w:rPr>
          <w:rFonts w:ascii="Times New Roman" w:hAnsi="Times New Roman" w:cs="Times New Roman"/>
        </w:rPr>
      </w:pPr>
      <w:r w:rsidRPr="00AA7D84">
        <w:rPr>
          <w:rFonts w:ascii="Times New Roman" w:hAnsi="Times New Roman" w:cs="Times New Roman"/>
        </w:rPr>
        <w:t xml:space="preserve">*Variables with significant impact on tenement buildings’ rental values </w:t>
      </w:r>
    </w:p>
    <w:p w:rsidR="007B2DBD" w:rsidRPr="00AA7D84" w:rsidRDefault="007B2DBD" w:rsidP="00554AFB">
      <w:pPr>
        <w:ind w:right="95"/>
        <w:rPr>
          <w:rFonts w:ascii="Times New Roman" w:hAnsi="Times New Roman" w:cs="Times New Roman"/>
          <w:b/>
          <w:sz w:val="24"/>
          <w:szCs w:val="24"/>
        </w:rPr>
      </w:pPr>
      <w:r w:rsidRPr="00AA7D84">
        <w:rPr>
          <w:rFonts w:ascii="Times New Roman" w:hAnsi="Times New Roman" w:cs="Times New Roman"/>
          <w:b/>
          <w:sz w:val="24"/>
          <w:szCs w:val="24"/>
        </w:rPr>
        <w:t>Data Analysis, 201</w:t>
      </w:r>
      <w:r w:rsidR="007D374C">
        <w:rPr>
          <w:rFonts w:ascii="Times New Roman" w:hAnsi="Times New Roman" w:cs="Times New Roman"/>
          <w:b/>
          <w:sz w:val="24"/>
          <w:szCs w:val="24"/>
        </w:rPr>
        <w:t>9</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It can be deduced from table </w:t>
      </w:r>
      <w:r w:rsidR="00554AFB">
        <w:rPr>
          <w:rFonts w:ascii="Times New Roman" w:hAnsi="Times New Roman" w:cs="Times New Roman"/>
          <w:sz w:val="24"/>
          <w:szCs w:val="24"/>
        </w:rPr>
        <w:t>4</w:t>
      </w:r>
      <w:r w:rsidRPr="00AA7D84">
        <w:rPr>
          <w:rFonts w:ascii="Times New Roman" w:hAnsi="Times New Roman" w:cs="Times New Roman"/>
          <w:sz w:val="24"/>
          <w:szCs w:val="24"/>
        </w:rPr>
        <w:t xml:space="preserve"> that, of all the independent variables having significant impact on rental values of tenement buildings, electricity supply which had an importance index of 0.419 is the most important externality which affects residential rental values in the study area. A zero-order correlation of 0.492 signified a moderate and positive relationship between tenement buildings’ rental values and electricity supply. Other predictors of rental values arranged in order of importance are: security, which had an importance index of 0.199 and a zero-order correlation of 0.319, proximity to major roads which had an importance index of 0.147 and a zero-order correlation of 0.285, sources of water supply (importance index = 0.092), proximity to shopping complexes (importance index = 0.057), refuse dumps (importance index = 0.052), and educational institutions (importance index = 0.018). The magnitude of the relationship between these independent variables and </w:t>
      </w:r>
      <w:r w:rsidRPr="00AA7D84">
        <w:rPr>
          <w:rFonts w:ascii="Times New Roman" w:hAnsi="Times New Roman" w:cs="Times New Roman"/>
          <w:sz w:val="24"/>
          <w:szCs w:val="24"/>
        </w:rPr>
        <w:lastRenderedPageBreak/>
        <w:t>residential rental values is reflected in their zero-order correlations which are 0.256, -0.203, and -0.204 respectively.</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It was also observed from table </w:t>
      </w:r>
      <w:r w:rsidR="00554AFB">
        <w:rPr>
          <w:rFonts w:ascii="Times New Roman" w:hAnsi="Times New Roman" w:cs="Times New Roman"/>
          <w:sz w:val="24"/>
          <w:szCs w:val="24"/>
        </w:rPr>
        <w:t>4</w:t>
      </w:r>
      <w:r w:rsidRPr="00AA7D84">
        <w:rPr>
          <w:rFonts w:ascii="Times New Roman" w:hAnsi="Times New Roman" w:cs="Times New Roman"/>
          <w:sz w:val="24"/>
          <w:szCs w:val="24"/>
        </w:rPr>
        <w:t xml:space="preserve"> that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and refuse dumps had negative zero-order correlation coefficients. The negative sign implied that rental values tend to decrease with closer distance to these two externalities.</w:t>
      </w:r>
    </w:p>
    <w:p w:rsidR="007B2DBD" w:rsidRPr="00AA7D84" w:rsidRDefault="007B2DBD" w:rsidP="00554AFB">
      <w:pPr>
        <w:tabs>
          <w:tab w:val="left" w:pos="851"/>
          <w:tab w:val="left" w:pos="1134"/>
        </w:tabs>
        <w:spacing w:after="0"/>
        <w:ind w:right="95"/>
        <w:jc w:val="both"/>
        <w:rPr>
          <w:rFonts w:ascii="Times New Roman" w:hAnsi="Times New Roman" w:cs="Times New Roman"/>
          <w:b/>
          <w:sz w:val="24"/>
          <w:szCs w:val="24"/>
        </w:rPr>
      </w:pPr>
      <w:r w:rsidRPr="00AA7D84">
        <w:rPr>
          <w:rFonts w:ascii="Times New Roman" w:hAnsi="Times New Roman" w:cs="Times New Roman"/>
          <w:b/>
          <w:sz w:val="24"/>
          <w:szCs w:val="24"/>
        </w:rPr>
        <w:t>The impacts of externalities on the rental values of one bedroom apartments</w:t>
      </w:r>
    </w:p>
    <w:p w:rsidR="007B2DBD" w:rsidRPr="00AA7D84" w:rsidRDefault="007B2DBD" w:rsidP="00554AFB">
      <w:pPr>
        <w:spacing w:after="0"/>
        <w:ind w:right="95"/>
        <w:jc w:val="both"/>
        <w:rPr>
          <w:rFonts w:ascii="Times New Roman" w:hAnsi="Times New Roman" w:cs="Times New Roman"/>
          <w:sz w:val="24"/>
          <w:szCs w:val="24"/>
        </w:rPr>
      </w:pPr>
      <w:r w:rsidRPr="00AA7D84">
        <w:rPr>
          <w:rFonts w:ascii="Times New Roman" w:hAnsi="Times New Roman" w:cs="Times New Roman"/>
          <w:sz w:val="24"/>
          <w:szCs w:val="24"/>
        </w:rPr>
        <w:t>This is analysed thus:</w:t>
      </w:r>
    </w:p>
    <w:p w:rsidR="007B2DBD" w:rsidRPr="00AA7D84" w:rsidRDefault="007B2DBD" w:rsidP="00554AFB">
      <w:pPr>
        <w:spacing w:after="0"/>
        <w:ind w:right="95"/>
        <w:rPr>
          <w:rFonts w:ascii="Times New Roman" w:hAnsi="Times New Roman" w:cs="Times New Roman"/>
          <w:b/>
          <w:sz w:val="24"/>
          <w:szCs w:val="24"/>
        </w:rPr>
      </w:pPr>
      <w:r w:rsidRPr="00AA7D84">
        <w:rPr>
          <w:rFonts w:ascii="Times New Roman" w:hAnsi="Times New Roman" w:cs="Times New Roman"/>
          <w:b/>
          <w:sz w:val="24"/>
          <w:szCs w:val="24"/>
        </w:rPr>
        <w:t xml:space="preserve">Table </w:t>
      </w:r>
      <w:r w:rsidR="00554AFB">
        <w:rPr>
          <w:rFonts w:ascii="Times New Roman" w:hAnsi="Times New Roman" w:cs="Times New Roman"/>
          <w:b/>
          <w:sz w:val="24"/>
          <w:szCs w:val="24"/>
        </w:rPr>
        <w:t>5</w:t>
      </w:r>
      <w:r w:rsidRPr="00AA7D84">
        <w:rPr>
          <w:rFonts w:ascii="Times New Roman" w:hAnsi="Times New Roman" w:cs="Times New Roman"/>
          <w:b/>
          <w:sz w:val="24"/>
          <w:szCs w:val="24"/>
        </w:rPr>
        <w:t>:   Beta Coefficients of the independent variables</w:t>
      </w:r>
    </w:p>
    <w:tbl>
      <w:tblPr>
        <w:tblW w:w="8946" w:type="dxa"/>
        <w:tblInd w:w="93" w:type="dxa"/>
        <w:tblLook w:val="04A0" w:firstRow="1" w:lastRow="0" w:firstColumn="1" w:lastColumn="0" w:noHBand="0" w:noVBand="1"/>
      </w:tblPr>
      <w:tblGrid>
        <w:gridCol w:w="3559"/>
        <w:gridCol w:w="851"/>
        <w:gridCol w:w="1767"/>
        <w:gridCol w:w="511"/>
        <w:gridCol w:w="1262"/>
        <w:gridCol w:w="996"/>
      </w:tblGrid>
      <w:tr w:rsidR="007B2DBD" w:rsidRPr="00AA7D84" w:rsidTr="007B2DBD">
        <w:trPr>
          <w:trHeight w:val="155"/>
        </w:trPr>
        <w:tc>
          <w:tcPr>
            <w:tcW w:w="3559" w:type="dxa"/>
            <w:vMerge w:val="restart"/>
            <w:tcBorders>
              <w:top w:val="single" w:sz="4" w:space="0" w:color="auto"/>
              <w:left w:val="nil"/>
              <w:bottom w:val="single" w:sz="4" w:space="0" w:color="000000"/>
              <w:right w:val="nil"/>
            </w:tcBorders>
            <w:shd w:val="clear" w:color="auto" w:fill="auto"/>
            <w:vAlign w:val="bottom"/>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w:t>
            </w:r>
          </w:p>
        </w:tc>
        <w:tc>
          <w:tcPr>
            <w:tcW w:w="2618" w:type="dxa"/>
            <w:gridSpan w:val="2"/>
            <w:tcBorders>
              <w:top w:val="single" w:sz="4" w:space="0" w:color="auto"/>
              <w:left w:val="nil"/>
              <w:bottom w:val="single" w:sz="4" w:space="0" w:color="auto"/>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Standardized Coefficients</w:t>
            </w:r>
          </w:p>
        </w:tc>
        <w:tc>
          <w:tcPr>
            <w:tcW w:w="511" w:type="dxa"/>
            <w:vMerge w:val="restart"/>
            <w:tcBorders>
              <w:top w:val="single" w:sz="4" w:space="0" w:color="auto"/>
              <w:left w:val="nil"/>
              <w:bottom w:val="nil"/>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proofErr w:type="spellStart"/>
            <w:r w:rsidRPr="00AA7D84">
              <w:rPr>
                <w:rFonts w:ascii="Times New Roman" w:eastAsia="Times New Roman" w:hAnsi="Times New Roman" w:cs="Times New Roman"/>
                <w:color w:val="000000"/>
                <w:sz w:val="24"/>
                <w:szCs w:val="24"/>
                <w:lang w:eastAsia="en-GB"/>
              </w:rPr>
              <w:t>df</w:t>
            </w:r>
            <w:proofErr w:type="spellEnd"/>
          </w:p>
        </w:tc>
        <w:tc>
          <w:tcPr>
            <w:tcW w:w="1262" w:type="dxa"/>
            <w:vMerge w:val="restart"/>
            <w:tcBorders>
              <w:top w:val="single" w:sz="4" w:space="0" w:color="auto"/>
              <w:left w:val="nil"/>
              <w:bottom w:val="nil"/>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F</w:t>
            </w:r>
          </w:p>
        </w:tc>
        <w:tc>
          <w:tcPr>
            <w:tcW w:w="996" w:type="dxa"/>
            <w:vMerge w:val="restart"/>
            <w:tcBorders>
              <w:top w:val="single" w:sz="4" w:space="0" w:color="auto"/>
              <w:left w:val="nil"/>
              <w:bottom w:val="nil"/>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Sig.</w:t>
            </w:r>
          </w:p>
        </w:tc>
      </w:tr>
      <w:tr w:rsidR="007B2DBD" w:rsidRPr="00AA7D84" w:rsidTr="007B2DBD">
        <w:trPr>
          <w:trHeight w:val="912"/>
        </w:trPr>
        <w:tc>
          <w:tcPr>
            <w:tcW w:w="3559" w:type="dxa"/>
            <w:vMerge/>
            <w:tcBorders>
              <w:top w:val="single" w:sz="4" w:space="0" w:color="auto"/>
              <w:left w:val="nil"/>
              <w:bottom w:val="single" w:sz="4" w:space="0" w:color="000000"/>
              <w:right w:val="nil"/>
            </w:tcBorders>
            <w:vAlign w:val="center"/>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Beta</w:t>
            </w:r>
          </w:p>
        </w:tc>
        <w:tc>
          <w:tcPr>
            <w:tcW w:w="1767" w:type="dxa"/>
            <w:tcBorders>
              <w:top w:val="nil"/>
              <w:left w:val="nil"/>
              <w:bottom w:val="nil"/>
              <w:right w:val="nil"/>
            </w:tcBorders>
            <w:shd w:val="clear" w:color="auto" w:fill="auto"/>
            <w:vAlign w:val="bottom"/>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Bootstrap (1000) Estimate of Std. Error</w:t>
            </w:r>
          </w:p>
        </w:tc>
        <w:tc>
          <w:tcPr>
            <w:tcW w:w="511" w:type="dxa"/>
            <w:vMerge/>
            <w:tcBorders>
              <w:top w:val="single" w:sz="4" w:space="0" w:color="auto"/>
              <w:left w:val="nil"/>
              <w:bottom w:val="nil"/>
              <w:right w:val="nil"/>
            </w:tcBorders>
            <w:vAlign w:val="center"/>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p>
        </w:tc>
        <w:tc>
          <w:tcPr>
            <w:tcW w:w="1262" w:type="dxa"/>
            <w:vMerge/>
            <w:tcBorders>
              <w:top w:val="single" w:sz="4" w:space="0" w:color="auto"/>
              <w:left w:val="nil"/>
              <w:bottom w:val="nil"/>
              <w:right w:val="nil"/>
            </w:tcBorders>
            <w:vAlign w:val="center"/>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p>
        </w:tc>
        <w:tc>
          <w:tcPr>
            <w:tcW w:w="996" w:type="dxa"/>
            <w:vMerge/>
            <w:tcBorders>
              <w:top w:val="single" w:sz="4" w:space="0" w:color="auto"/>
              <w:left w:val="nil"/>
              <w:bottom w:val="nil"/>
              <w:right w:val="nil"/>
            </w:tcBorders>
            <w:vAlign w:val="center"/>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p>
        </w:tc>
      </w:tr>
      <w:tr w:rsidR="007B2DBD" w:rsidRPr="00AA7D84" w:rsidTr="007B2DBD">
        <w:trPr>
          <w:trHeight w:val="215"/>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Shopping complexes</w:t>
            </w:r>
          </w:p>
        </w:tc>
        <w:tc>
          <w:tcPr>
            <w:tcW w:w="851" w:type="dxa"/>
            <w:tcBorders>
              <w:top w:val="single" w:sz="4" w:space="0" w:color="auto"/>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.085</w:t>
            </w:r>
          </w:p>
        </w:tc>
        <w:tc>
          <w:tcPr>
            <w:tcW w:w="1767" w:type="dxa"/>
            <w:tcBorders>
              <w:top w:val="single" w:sz="4" w:space="0" w:color="auto"/>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.037</w:t>
            </w:r>
          </w:p>
        </w:tc>
        <w:tc>
          <w:tcPr>
            <w:tcW w:w="511" w:type="dxa"/>
            <w:tcBorders>
              <w:top w:val="single" w:sz="4" w:space="0" w:color="auto"/>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single" w:sz="4" w:space="0" w:color="auto"/>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5.216</w:t>
            </w:r>
          </w:p>
        </w:tc>
        <w:tc>
          <w:tcPr>
            <w:tcW w:w="996" w:type="dxa"/>
            <w:tcBorders>
              <w:top w:val="single" w:sz="4" w:space="0" w:color="auto"/>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.023</w:t>
            </w:r>
          </w:p>
        </w:tc>
      </w:tr>
      <w:tr w:rsidR="007B2DBD" w:rsidRPr="00AA7D84" w:rsidTr="007B2DBD">
        <w:trPr>
          <w:trHeight w:val="188"/>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Educational Institutions</w:t>
            </w:r>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.142</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.038</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14.000</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276"/>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Health care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-.128</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.038</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11.395</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.001</w:t>
            </w:r>
          </w:p>
        </w:tc>
      </w:tr>
      <w:tr w:rsidR="007B2DBD" w:rsidRPr="00AA7D84" w:rsidTr="007B2DBD">
        <w:trPr>
          <w:trHeight w:val="225"/>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Recreation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.036</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.052</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.493</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.483</w:t>
            </w:r>
          </w:p>
        </w:tc>
      </w:tr>
      <w:tr w:rsidR="007B2DBD" w:rsidRPr="00AA7D84" w:rsidTr="007B2DBD">
        <w:trPr>
          <w:trHeight w:val="193"/>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Major Roads</w:t>
            </w:r>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.319</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.036</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78.885</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0.000</w:t>
            </w:r>
          </w:p>
        </w:tc>
      </w:tr>
      <w:tr w:rsidR="007B2DBD" w:rsidRPr="00AA7D84" w:rsidTr="007B2DBD">
        <w:trPr>
          <w:trHeight w:val="268"/>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Refuse Dumps</w:t>
            </w:r>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-.036</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.063</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.337</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.562</w:t>
            </w:r>
          </w:p>
        </w:tc>
      </w:tr>
      <w:tr w:rsidR="007B2DBD" w:rsidRPr="00AA7D84" w:rsidTr="007B2DBD">
        <w:trPr>
          <w:trHeight w:val="282"/>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Security of the Neighbourhood</w:t>
            </w:r>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.196</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.037</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28.580</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w:t>
            </w:r>
          </w:p>
        </w:tc>
      </w:tr>
      <w:tr w:rsidR="007B2DBD" w:rsidRPr="00AA7D84" w:rsidTr="007B2DBD">
        <w:trPr>
          <w:trHeight w:val="129"/>
        </w:trPr>
        <w:tc>
          <w:tcPr>
            <w:tcW w:w="3559" w:type="dxa"/>
            <w:tcBorders>
              <w:top w:val="nil"/>
              <w:left w:val="nil"/>
              <w:bottom w:val="nil"/>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Electricity supply</w:t>
            </w:r>
          </w:p>
        </w:tc>
        <w:tc>
          <w:tcPr>
            <w:tcW w:w="85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.611</w:t>
            </w:r>
          </w:p>
        </w:tc>
        <w:tc>
          <w:tcPr>
            <w:tcW w:w="1767"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.033</w:t>
            </w:r>
          </w:p>
        </w:tc>
        <w:tc>
          <w:tcPr>
            <w:tcW w:w="511"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352.148</w:t>
            </w:r>
          </w:p>
        </w:tc>
        <w:tc>
          <w:tcPr>
            <w:tcW w:w="996" w:type="dxa"/>
            <w:tcBorders>
              <w:top w:val="nil"/>
              <w:left w:val="nil"/>
              <w:bottom w:val="nil"/>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0.000</w:t>
            </w:r>
          </w:p>
        </w:tc>
      </w:tr>
      <w:tr w:rsidR="007B2DBD" w:rsidRPr="00AA7D84" w:rsidTr="007B2DBD">
        <w:trPr>
          <w:trHeight w:val="129"/>
        </w:trPr>
        <w:tc>
          <w:tcPr>
            <w:tcW w:w="3559" w:type="dxa"/>
            <w:tcBorders>
              <w:top w:val="nil"/>
              <w:left w:val="nil"/>
              <w:bottom w:val="double" w:sz="6" w:space="0" w:color="auto"/>
              <w:right w:val="nil"/>
            </w:tcBorders>
            <w:shd w:val="clear" w:color="auto" w:fill="auto"/>
            <w:hideMark/>
          </w:tcPr>
          <w:p w:rsidR="007B2DBD" w:rsidRPr="00AA7D84" w:rsidRDefault="007B2DBD" w:rsidP="00554AFB">
            <w:pPr>
              <w:spacing w:after="0"/>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Water supply</w:t>
            </w:r>
          </w:p>
        </w:tc>
        <w:tc>
          <w:tcPr>
            <w:tcW w:w="851" w:type="dxa"/>
            <w:tcBorders>
              <w:top w:val="nil"/>
              <w:left w:val="nil"/>
              <w:bottom w:val="double" w:sz="6" w:space="0" w:color="auto"/>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-.083</w:t>
            </w:r>
          </w:p>
        </w:tc>
        <w:tc>
          <w:tcPr>
            <w:tcW w:w="1767" w:type="dxa"/>
            <w:tcBorders>
              <w:top w:val="nil"/>
              <w:left w:val="nil"/>
              <w:bottom w:val="double" w:sz="6" w:space="0" w:color="auto"/>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.063</w:t>
            </w:r>
          </w:p>
        </w:tc>
        <w:tc>
          <w:tcPr>
            <w:tcW w:w="511" w:type="dxa"/>
            <w:tcBorders>
              <w:top w:val="nil"/>
              <w:left w:val="nil"/>
              <w:bottom w:val="double" w:sz="6" w:space="0" w:color="auto"/>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w:t>
            </w:r>
          </w:p>
        </w:tc>
        <w:tc>
          <w:tcPr>
            <w:tcW w:w="1262" w:type="dxa"/>
            <w:tcBorders>
              <w:top w:val="nil"/>
              <w:left w:val="nil"/>
              <w:bottom w:val="double" w:sz="6" w:space="0" w:color="auto"/>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1.711</w:t>
            </w:r>
          </w:p>
        </w:tc>
        <w:tc>
          <w:tcPr>
            <w:tcW w:w="996" w:type="dxa"/>
            <w:tcBorders>
              <w:top w:val="nil"/>
              <w:left w:val="nil"/>
              <w:bottom w:val="double" w:sz="6" w:space="0" w:color="auto"/>
              <w:right w:val="nil"/>
            </w:tcBorders>
            <w:shd w:val="clear" w:color="auto" w:fill="auto"/>
            <w:noWrap/>
            <w:vAlign w:val="center"/>
            <w:hideMark/>
          </w:tcPr>
          <w:p w:rsidR="007B2DBD" w:rsidRPr="00AA7D84" w:rsidRDefault="007B2DBD" w:rsidP="00554AFB">
            <w:pPr>
              <w:spacing w:after="0"/>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.192</w:t>
            </w:r>
          </w:p>
        </w:tc>
      </w:tr>
    </w:tbl>
    <w:p w:rsidR="007B2DBD" w:rsidRPr="00AA7D84" w:rsidRDefault="007B2DBD" w:rsidP="00554AFB">
      <w:pPr>
        <w:ind w:right="95"/>
        <w:rPr>
          <w:rFonts w:ascii="Times New Roman" w:hAnsi="Times New Roman" w:cs="Times New Roman"/>
          <w:b/>
          <w:sz w:val="24"/>
          <w:szCs w:val="24"/>
        </w:rPr>
      </w:pPr>
      <w:r w:rsidRPr="00AA7D84">
        <w:rPr>
          <w:rFonts w:ascii="Times New Roman" w:hAnsi="Times New Roman" w:cs="Times New Roman"/>
          <w:b/>
          <w:sz w:val="24"/>
          <w:szCs w:val="24"/>
        </w:rPr>
        <w:t>Data Analysis, 201</w:t>
      </w:r>
      <w:r w:rsidR="007D374C">
        <w:rPr>
          <w:rFonts w:ascii="Times New Roman" w:hAnsi="Times New Roman" w:cs="Times New Roman"/>
          <w:b/>
          <w:sz w:val="24"/>
          <w:szCs w:val="24"/>
        </w:rPr>
        <w:t>9</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An examination of the standardized beta coefficients in the second column of Table </w:t>
      </w:r>
      <w:r w:rsidR="00554AFB">
        <w:rPr>
          <w:rFonts w:ascii="Times New Roman" w:hAnsi="Times New Roman" w:cs="Times New Roman"/>
          <w:sz w:val="24"/>
          <w:szCs w:val="24"/>
        </w:rPr>
        <w:t>5</w:t>
      </w:r>
      <w:r w:rsidRPr="00AA7D84">
        <w:rPr>
          <w:rFonts w:ascii="Times New Roman" w:hAnsi="Times New Roman" w:cs="Times New Roman"/>
          <w:sz w:val="24"/>
          <w:szCs w:val="24"/>
        </w:rPr>
        <w:t xml:space="preserve"> revealed that electricity supply made the strongest unique contribution to explaining the rental values of one bedroom apartments in the study area. It had the highest beta coefficient (0.611), followed by proximity to major roads (0.319), security of the neighbourhood (0.196), and proximity to educational institutions (0.142). Proximity to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and health care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made the least contributions to the rental values of one bedroom apartments in the study area. The two variables had standardized beta coefficients of 0.085 and 0.128 respectively. </w:t>
      </w:r>
    </w:p>
    <w:p w:rsidR="007B2DBD" w:rsidRPr="00AA7D84"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p-values in the last column of table </w:t>
      </w:r>
      <w:r w:rsidR="00554AFB">
        <w:rPr>
          <w:rFonts w:ascii="Times New Roman" w:hAnsi="Times New Roman" w:cs="Times New Roman"/>
          <w:sz w:val="24"/>
          <w:szCs w:val="24"/>
        </w:rPr>
        <w:t>5</w:t>
      </w:r>
      <w:r w:rsidRPr="00AA7D84">
        <w:rPr>
          <w:rFonts w:ascii="Times New Roman" w:hAnsi="Times New Roman" w:cs="Times New Roman"/>
          <w:sz w:val="24"/>
          <w:szCs w:val="24"/>
        </w:rPr>
        <w:t xml:space="preserve"> tell whether the contributions of the respective independent variables to the dependent variable are significant. Variables whose p-values were less than 0.05 implied that the variables made a significant unique contribution to the dependent variable. A careful look at the table showed that the proximities of dwelling units (one bedroom apartments) to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educational institutions, health care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and major roads made significant unique contributions to the rental values of this category of residential dwellings in the study area. Others are: neighbourhood security and electricity supply.</w:t>
      </w:r>
    </w:p>
    <w:p w:rsidR="007B2DBD" w:rsidRPr="00AA7D84" w:rsidRDefault="007B2DBD" w:rsidP="007B2DBD">
      <w:pPr>
        <w:spacing w:after="0"/>
        <w:ind w:left="1134" w:right="238" w:hanging="1134"/>
        <w:jc w:val="both"/>
        <w:rPr>
          <w:rFonts w:ascii="Times New Roman" w:hAnsi="Times New Roman" w:cs="Times New Roman"/>
          <w:b/>
          <w:sz w:val="24"/>
          <w:szCs w:val="24"/>
        </w:rPr>
      </w:pPr>
      <w:r w:rsidRPr="00AA7D84">
        <w:rPr>
          <w:rFonts w:ascii="Times New Roman" w:hAnsi="Times New Roman" w:cs="Times New Roman"/>
          <w:b/>
          <w:sz w:val="24"/>
          <w:szCs w:val="24"/>
        </w:rPr>
        <w:lastRenderedPageBreak/>
        <w:t xml:space="preserve">Table </w:t>
      </w:r>
      <w:r w:rsidR="00554AFB">
        <w:rPr>
          <w:rFonts w:ascii="Times New Roman" w:hAnsi="Times New Roman" w:cs="Times New Roman"/>
          <w:b/>
          <w:sz w:val="24"/>
          <w:szCs w:val="24"/>
        </w:rPr>
        <w:t>6</w:t>
      </w:r>
      <w:r w:rsidRPr="00AA7D84">
        <w:rPr>
          <w:rFonts w:ascii="Times New Roman" w:hAnsi="Times New Roman" w:cs="Times New Roman"/>
          <w:b/>
          <w:sz w:val="24"/>
          <w:szCs w:val="24"/>
        </w:rPr>
        <w:t xml:space="preserve">: Zero-order Correlation and Importance Index for the relationship between rental values of one bedroom apartments and externalities </w:t>
      </w:r>
    </w:p>
    <w:tbl>
      <w:tblPr>
        <w:tblW w:w="8662" w:type="dxa"/>
        <w:tblInd w:w="93" w:type="dxa"/>
        <w:tblLook w:val="04A0" w:firstRow="1" w:lastRow="0" w:firstColumn="1" w:lastColumn="0" w:noHBand="0" w:noVBand="1"/>
      </w:tblPr>
      <w:tblGrid>
        <w:gridCol w:w="4126"/>
        <w:gridCol w:w="2126"/>
        <w:gridCol w:w="2410"/>
      </w:tblGrid>
      <w:tr w:rsidR="007B2DBD" w:rsidRPr="00AA7D84" w:rsidTr="007B2DBD">
        <w:trPr>
          <w:trHeight w:val="630"/>
        </w:trPr>
        <w:tc>
          <w:tcPr>
            <w:tcW w:w="4126" w:type="dxa"/>
            <w:tcBorders>
              <w:top w:val="single" w:sz="4" w:space="0" w:color="auto"/>
              <w:left w:val="nil"/>
              <w:bottom w:val="single" w:sz="4" w:space="0" w:color="auto"/>
              <w:right w:val="nil"/>
            </w:tcBorders>
            <w:shd w:val="clear" w:color="auto" w:fill="auto"/>
            <w:noWrap/>
            <w:vAlign w:val="bottom"/>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Independent Variables</w:t>
            </w:r>
          </w:p>
        </w:tc>
        <w:tc>
          <w:tcPr>
            <w:tcW w:w="2126" w:type="dxa"/>
            <w:tcBorders>
              <w:top w:val="single" w:sz="4" w:space="0" w:color="auto"/>
              <w:left w:val="nil"/>
              <w:bottom w:val="single" w:sz="4" w:space="0" w:color="auto"/>
              <w:right w:val="nil"/>
            </w:tcBorders>
            <w:shd w:val="clear" w:color="auto" w:fill="auto"/>
            <w:vAlign w:val="bottom"/>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Zero-Order Correlation</w:t>
            </w:r>
          </w:p>
        </w:tc>
        <w:tc>
          <w:tcPr>
            <w:tcW w:w="2410" w:type="dxa"/>
            <w:tcBorders>
              <w:top w:val="single" w:sz="4" w:space="0" w:color="auto"/>
              <w:left w:val="nil"/>
              <w:bottom w:val="single" w:sz="4" w:space="0" w:color="auto"/>
              <w:right w:val="nil"/>
            </w:tcBorders>
            <w:shd w:val="clear" w:color="auto" w:fill="auto"/>
            <w:vAlign w:val="bottom"/>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Importance</w:t>
            </w:r>
          </w:p>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Index</w:t>
            </w:r>
          </w:p>
        </w:tc>
      </w:tr>
      <w:tr w:rsidR="007B2DBD" w:rsidRPr="00AA7D84" w:rsidTr="007B2DBD">
        <w:trPr>
          <w:trHeight w:val="345"/>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Shopping complexes*</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.017</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.002</w:t>
            </w:r>
          </w:p>
        </w:tc>
      </w:tr>
      <w:tr w:rsidR="007B2DBD" w:rsidRPr="00AA7D84" w:rsidTr="007B2DBD">
        <w:trPr>
          <w:trHeight w:val="180"/>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Educational Institutions*</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.262</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.061</w:t>
            </w:r>
          </w:p>
        </w:tc>
      </w:tr>
      <w:tr w:rsidR="007B2DBD" w:rsidRPr="00AA7D84" w:rsidTr="007B2DBD">
        <w:trPr>
          <w:trHeight w:val="211"/>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Health care </w:t>
            </w:r>
            <w:proofErr w:type="spellStart"/>
            <w:r w:rsidRPr="00AA7D84">
              <w:rPr>
                <w:rFonts w:ascii="Times New Roman" w:eastAsia="Times New Roman" w:hAnsi="Times New Roman" w:cs="Times New Roman"/>
                <w:color w:val="000000"/>
                <w:sz w:val="24"/>
                <w:szCs w:val="24"/>
                <w:lang w:eastAsia="en-GB"/>
              </w:rPr>
              <w:t>Centers</w:t>
            </w:r>
            <w:proofErr w:type="spellEnd"/>
            <w:r w:rsidRPr="00AA7D84">
              <w:rPr>
                <w:rFonts w:ascii="Times New Roman" w:eastAsia="Times New Roman" w:hAnsi="Times New Roman" w:cs="Times New Roman"/>
                <w:color w:val="000000"/>
                <w:sz w:val="24"/>
                <w:szCs w:val="24"/>
                <w:lang w:eastAsia="en-GB"/>
              </w:rPr>
              <w:t>*</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-.066</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.014</w:t>
            </w:r>
          </w:p>
        </w:tc>
      </w:tr>
      <w:tr w:rsidR="007B2DBD" w:rsidRPr="00AA7D84" w:rsidTr="007B2DBD">
        <w:trPr>
          <w:trHeight w:val="173"/>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 xml:space="preserve">Recreation </w:t>
            </w:r>
            <w:proofErr w:type="spellStart"/>
            <w:r w:rsidRPr="00AA7D84">
              <w:rPr>
                <w:rFonts w:ascii="Times New Roman" w:eastAsia="Times New Roman" w:hAnsi="Times New Roman" w:cs="Times New Roman"/>
                <w:color w:val="000000"/>
                <w:sz w:val="24"/>
                <w:szCs w:val="24"/>
                <w:lang w:eastAsia="en-GB"/>
              </w:rPr>
              <w:t>Centers</w:t>
            </w:r>
            <w:proofErr w:type="spellEnd"/>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.112</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.007</w:t>
            </w:r>
          </w:p>
        </w:tc>
      </w:tr>
      <w:tr w:rsidR="007B2DBD" w:rsidRPr="00AA7D84" w:rsidTr="007B2DBD">
        <w:trPr>
          <w:trHeight w:val="95"/>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Major Roads*</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.333</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.174</w:t>
            </w:r>
          </w:p>
        </w:tc>
      </w:tr>
      <w:tr w:rsidR="007B2DBD" w:rsidRPr="00AA7D84" w:rsidTr="007B2DBD">
        <w:trPr>
          <w:trHeight w:val="83"/>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Refuse Dumps</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-.074</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.004</w:t>
            </w:r>
          </w:p>
        </w:tc>
      </w:tr>
      <w:tr w:rsidR="007B2DBD" w:rsidRPr="00AA7D84" w:rsidTr="007B2DBD">
        <w:trPr>
          <w:trHeight w:val="187"/>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Security of the Neighbourhood*</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.269</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.087</w:t>
            </w:r>
          </w:p>
        </w:tc>
      </w:tr>
      <w:tr w:rsidR="007B2DBD" w:rsidRPr="00AA7D84" w:rsidTr="007B2DBD">
        <w:trPr>
          <w:trHeight w:val="95"/>
        </w:trPr>
        <w:tc>
          <w:tcPr>
            <w:tcW w:w="4126" w:type="dxa"/>
            <w:tcBorders>
              <w:top w:val="nil"/>
              <w:left w:val="nil"/>
              <w:bottom w:val="nil"/>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Electricity supply*</w:t>
            </w:r>
          </w:p>
        </w:tc>
        <w:tc>
          <w:tcPr>
            <w:tcW w:w="2126"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.670</w:t>
            </w:r>
          </w:p>
        </w:tc>
        <w:tc>
          <w:tcPr>
            <w:tcW w:w="2410" w:type="dxa"/>
            <w:tcBorders>
              <w:top w:val="nil"/>
              <w:left w:val="nil"/>
              <w:bottom w:val="nil"/>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.673</w:t>
            </w:r>
          </w:p>
        </w:tc>
      </w:tr>
      <w:tr w:rsidR="007B2DBD" w:rsidRPr="00AA7D84" w:rsidTr="007B2DBD">
        <w:trPr>
          <w:trHeight w:val="95"/>
        </w:trPr>
        <w:tc>
          <w:tcPr>
            <w:tcW w:w="4126" w:type="dxa"/>
            <w:tcBorders>
              <w:top w:val="nil"/>
              <w:left w:val="nil"/>
              <w:bottom w:val="double" w:sz="6" w:space="0" w:color="auto"/>
              <w:right w:val="nil"/>
            </w:tcBorders>
            <w:shd w:val="clear" w:color="auto" w:fill="auto"/>
            <w:hideMark/>
          </w:tcPr>
          <w:p w:rsidR="007B2DBD" w:rsidRPr="00AA7D84" w:rsidRDefault="007B2DBD" w:rsidP="007B2DBD">
            <w:pPr>
              <w:spacing w:after="0" w:line="360" w:lineRule="auto"/>
              <w:ind w:right="95"/>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Sources of Water supply</w:t>
            </w:r>
          </w:p>
        </w:tc>
        <w:tc>
          <w:tcPr>
            <w:tcW w:w="2126" w:type="dxa"/>
            <w:tcBorders>
              <w:top w:val="nil"/>
              <w:left w:val="nil"/>
              <w:bottom w:val="double" w:sz="6" w:space="0" w:color="auto"/>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.157</w:t>
            </w:r>
          </w:p>
        </w:tc>
        <w:tc>
          <w:tcPr>
            <w:tcW w:w="2410" w:type="dxa"/>
            <w:tcBorders>
              <w:top w:val="nil"/>
              <w:left w:val="nil"/>
              <w:bottom w:val="double" w:sz="6" w:space="0" w:color="auto"/>
              <w:right w:val="nil"/>
            </w:tcBorders>
            <w:shd w:val="clear" w:color="auto" w:fill="auto"/>
            <w:noWrap/>
            <w:vAlign w:val="center"/>
            <w:hideMark/>
          </w:tcPr>
          <w:p w:rsidR="007B2DBD" w:rsidRPr="00AA7D84" w:rsidRDefault="007B2DBD" w:rsidP="007B2DBD">
            <w:pPr>
              <w:spacing w:after="0" w:line="360" w:lineRule="auto"/>
              <w:ind w:right="95"/>
              <w:jc w:val="center"/>
              <w:rPr>
                <w:rFonts w:ascii="Times New Roman" w:eastAsia="Times New Roman" w:hAnsi="Times New Roman" w:cs="Times New Roman"/>
                <w:color w:val="000000"/>
                <w:sz w:val="24"/>
                <w:szCs w:val="24"/>
                <w:lang w:eastAsia="en-GB"/>
              </w:rPr>
            </w:pPr>
            <w:r w:rsidRPr="00AA7D84">
              <w:rPr>
                <w:rFonts w:ascii="Times New Roman" w:eastAsia="Times New Roman" w:hAnsi="Times New Roman" w:cs="Times New Roman"/>
                <w:color w:val="000000"/>
                <w:sz w:val="24"/>
                <w:szCs w:val="24"/>
                <w:lang w:eastAsia="en-GB"/>
              </w:rPr>
              <w:t>-.021</w:t>
            </w:r>
          </w:p>
        </w:tc>
      </w:tr>
    </w:tbl>
    <w:p w:rsidR="007B2DBD" w:rsidRPr="00AA7D84" w:rsidRDefault="007B2DBD" w:rsidP="007B2DBD">
      <w:pPr>
        <w:spacing w:after="0"/>
        <w:ind w:right="95"/>
        <w:jc w:val="both"/>
        <w:rPr>
          <w:rFonts w:ascii="Times New Roman" w:hAnsi="Times New Roman" w:cs="Times New Roman"/>
        </w:rPr>
      </w:pPr>
      <w:r w:rsidRPr="00AA7D84">
        <w:rPr>
          <w:rFonts w:ascii="Times New Roman" w:hAnsi="Times New Roman" w:cs="Times New Roman"/>
        </w:rPr>
        <w:t xml:space="preserve">*Variables with significant impact on rental values of one bedroom apartments </w:t>
      </w:r>
    </w:p>
    <w:p w:rsidR="007B2DBD" w:rsidRPr="00AA7D84" w:rsidRDefault="007B2DBD" w:rsidP="007B2DBD">
      <w:pPr>
        <w:spacing w:line="480" w:lineRule="auto"/>
        <w:ind w:right="95"/>
        <w:rPr>
          <w:rFonts w:ascii="Times New Roman" w:hAnsi="Times New Roman" w:cs="Times New Roman"/>
          <w:b/>
          <w:sz w:val="24"/>
          <w:szCs w:val="24"/>
        </w:rPr>
      </w:pPr>
      <w:r w:rsidRPr="00AA7D84">
        <w:rPr>
          <w:rFonts w:ascii="Times New Roman" w:hAnsi="Times New Roman" w:cs="Times New Roman"/>
          <w:b/>
          <w:sz w:val="24"/>
          <w:szCs w:val="24"/>
        </w:rPr>
        <w:t>Data Analysis, 201</w:t>
      </w:r>
      <w:r w:rsidR="007D374C">
        <w:rPr>
          <w:rFonts w:ascii="Times New Roman" w:hAnsi="Times New Roman" w:cs="Times New Roman"/>
          <w:b/>
          <w:sz w:val="24"/>
          <w:szCs w:val="24"/>
        </w:rPr>
        <w:t>9</w:t>
      </w:r>
    </w:p>
    <w:p w:rsidR="007B2DBD" w:rsidRPr="00AA7D84" w:rsidRDefault="007B2DBD" w:rsidP="00554AFB">
      <w:pPr>
        <w:ind w:right="238"/>
        <w:jc w:val="both"/>
        <w:rPr>
          <w:rFonts w:ascii="Times New Roman" w:hAnsi="Times New Roman" w:cs="Times New Roman"/>
          <w:sz w:val="24"/>
          <w:szCs w:val="24"/>
        </w:rPr>
      </w:pPr>
      <w:r w:rsidRPr="00AA7D84">
        <w:rPr>
          <w:rFonts w:ascii="Times New Roman" w:hAnsi="Times New Roman" w:cs="Times New Roman"/>
          <w:sz w:val="24"/>
          <w:szCs w:val="24"/>
        </w:rPr>
        <w:t xml:space="preserve">Results in table </w:t>
      </w:r>
      <w:r w:rsidR="00554AFB">
        <w:rPr>
          <w:rFonts w:ascii="Times New Roman" w:hAnsi="Times New Roman" w:cs="Times New Roman"/>
          <w:sz w:val="24"/>
          <w:szCs w:val="24"/>
        </w:rPr>
        <w:t>6</w:t>
      </w:r>
      <w:r w:rsidRPr="00AA7D84">
        <w:rPr>
          <w:rFonts w:ascii="Times New Roman" w:hAnsi="Times New Roman" w:cs="Times New Roman"/>
          <w:sz w:val="24"/>
          <w:szCs w:val="24"/>
        </w:rPr>
        <w:t xml:space="preserve"> revealed that the rental values of one bedroom apartments reduced with closer distances to health care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and refuse dumps. This is emphasized by their zero-order correlation coefficients which are -0.066, and -0.074 respectively. Table 39 further showed that, of all the externalities having significant impact on rental values of one bedroom apartments, electricity supply which had an importance index of 0.673 was the most important externality which determined the rental values of self-contain apartments in the study area. A zero-order correlation of 0.670 further signified a strong and positive relationship between the rental values of one bedroom apartments and electricity supply, thus rental values improved with an improvement in electricity supply. </w:t>
      </w:r>
    </w:p>
    <w:p w:rsidR="007B2DBD" w:rsidRDefault="007B2DBD" w:rsidP="00554AFB">
      <w:pPr>
        <w:ind w:right="95"/>
        <w:jc w:val="both"/>
        <w:rPr>
          <w:rFonts w:ascii="Times New Roman" w:hAnsi="Times New Roman" w:cs="Times New Roman"/>
          <w:sz w:val="24"/>
          <w:szCs w:val="24"/>
        </w:rPr>
      </w:pPr>
      <w:r w:rsidRPr="00AA7D84">
        <w:rPr>
          <w:rFonts w:ascii="Times New Roman" w:hAnsi="Times New Roman" w:cs="Times New Roman"/>
          <w:sz w:val="24"/>
          <w:szCs w:val="24"/>
        </w:rPr>
        <w:t>Other predictors of the rental values of one bedroom apartments arranged in order of importance were: proximity to major roads, with an importance index of 0.174 and a zero-order correlation of 0.333, security of the neighbourhood (importance index = 0.087), and proximity to educational institutions (importance index = 0.061). Results in table 39 further established a weak but positive relationship between rental values and neighbourhood security, and between rental values and proximity to educational institutions. Both indices had zero-order correlations of 0.269 and 0.062 respectively.</w:t>
      </w:r>
    </w:p>
    <w:p w:rsidR="007B2DBD" w:rsidRPr="00AA7D84" w:rsidRDefault="007B2DBD" w:rsidP="007D374C">
      <w:pPr>
        <w:tabs>
          <w:tab w:val="left" w:pos="1134"/>
        </w:tabs>
        <w:spacing w:after="0"/>
        <w:ind w:right="95"/>
        <w:jc w:val="both"/>
        <w:rPr>
          <w:rFonts w:ascii="Times New Roman" w:hAnsi="Times New Roman" w:cs="Times New Roman"/>
          <w:b/>
          <w:sz w:val="24"/>
          <w:szCs w:val="24"/>
        </w:rPr>
      </w:pPr>
      <w:r w:rsidRPr="00AA7D84">
        <w:rPr>
          <w:rFonts w:ascii="Times New Roman" w:hAnsi="Times New Roman" w:cs="Times New Roman"/>
          <w:b/>
          <w:sz w:val="24"/>
          <w:szCs w:val="24"/>
        </w:rPr>
        <w:t xml:space="preserve">Rental Value prediction model </w:t>
      </w:r>
    </w:p>
    <w:p w:rsidR="007B2DBD" w:rsidRDefault="007B2DBD" w:rsidP="007D374C">
      <w:pPr>
        <w:ind w:right="95"/>
        <w:jc w:val="both"/>
        <w:rPr>
          <w:rFonts w:ascii="Times New Roman" w:hAnsi="Times New Roman" w:cs="Times New Roman"/>
          <w:sz w:val="24"/>
          <w:szCs w:val="24"/>
        </w:rPr>
      </w:pPr>
      <w:r w:rsidRPr="00AA7D84">
        <w:rPr>
          <w:rFonts w:ascii="Times New Roman" w:hAnsi="Times New Roman" w:cs="Times New Roman"/>
          <w:sz w:val="24"/>
          <w:szCs w:val="24"/>
        </w:rPr>
        <w:t>By substituting the coefficients (</w:t>
      </w:r>
      <w:proofErr w:type="spellStart"/>
      <w:r w:rsidRPr="00AA7D84">
        <w:rPr>
          <w:rFonts w:ascii="Times New Roman" w:hAnsi="Times New Roman" w:cs="Times New Roman"/>
          <w:sz w:val="24"/>
          <w:szCs w:val="24"/>
        </w:rPr>
        <w:t>ie</w:t>
      </w:r>
      <w:proofErr w:type="spellEnd"/>
      <w:r w:rsidRPr="00AA7D84">
        <w:rPr>
          <w:rFonts w:ascii="Times New Roman" w:hAnsi="Times New Roman" w:cs="Times New Roman"/>
          <w:sz w:val="24"/>
          <w:szCs w:val="24"/>
        </w:rPr>
        <w:t xml:space="preserve">. coefficients with corresponding p-values that are less than 0.05, indicating significant impacts) generated from the regression analysis into equation </w:t>
      </w:r>
      <w:r w:rsidR="00554AFB">
        <w:rPr>
          <w:rFonts w:ascii="Times New Roman" w:hAnsi="Times New Roman" w:cs="Times New Roman"/>
          <w:sz w:val="24"/>
          <w:szCs w:val="24"/>
        </w:rPr>
        <w:t>3</w:t>
      </w:r>
      <w:r w:rsidRPr="00AA7D84">
        <w:rPr>
          <w:rFonts w:ascii="Times New Roman" w:hAnsi="Times New Roman" w:cs="Times New Roman"/>
          <w:sz w:val="24"/>
          <w:szCs w:val="24"/>
        </w:rPr>
        <w:t>, the prediction models developed to predict residential rental values for the study area are given as:</w:t>
      </w:r>
    </w:p>
    <w:p w:rsidR="007D374C" w:rsidRPr="00AA7D84" w:rsidRDefault="007D374C" w:rsidP="007D374C">
      <w:pPr>
        <w:ind w:right="95"/>
        <w:jc w:val="both"/>
        <w:rPr>
          <w:rFonts w:ascii="Times New Roman" w:hAnsi="Times New Roman" w:cs="Times New Roman"/>
          <w:sz w:val="24"/>
          <w:szCs w:val="24"/>
        </w:rPr>
      </w:pPr>
    </w:p>
    <w:p w:rsidR="007B2DBD" w:rsidRPr="00AA7D84" w:rsidRDefault="007B2DBD" w:rsidP="007D374C">
      <w:pPr>
        <w:spacing w:after="0"/>
        <w:ind w:left="360" w:right="95" w:hanging="360"/>
        <w:jc w:val="both"/>
        <w:rPr>
          <w:rFonts w:ascii="Times New Roman" w:hAnsi="Times New Roman" w:cs="Times New Roman"/>
          <w:b/>
          <w:sz w:val="24"/>
          <w:szCs w:val="24"/>
        </w:rPr>
      </w:pPr>
      <w:r w:rsidRPr="00AA7D84">
        <w:rPr>
          <w:rFonts w:ascii="Times New Roman" w:hAnsi="Times New Roman" w:cs="Times New Roman"/>
          <w:b/>
          <w:sz w:val="24"/>
          <w:szCs w:val="24"/>
        </w:rPr>
        <w:lastRenderedPageBreak/>
        <w:t>i.</w:t>
      </w:r>
      <w:r w:rsidRPr="00AA7D84">
        <w:rPr>
          <w:rFonts w:ascii="Times New Roman" w:hAnsi="Times New Roman" w:cs="Times New Roman"/>
          <w:b/>
          <w:sz w:val="24"/>
          <w:szCs w:val="24"/>
        </w:rPr>
        <w:tab/>
        <w:t>Tenement buildings</w:t>
      </w:r>
    </w:p>
    <w:p w:rsidR="007B2DBD" w:rsidRPr="00AA7D84" w:rsidRDefault="007B2DBD" w:rsidP="007D374C">
      <w:pPr>
        <w:ind w:left="851" w:right="95" w:hanging="491"/>
        <w:jc w:val="both"/>
        <w:rPr>
          <w:rFonts w:ascii="Times New Roman" w:eastAsiaTheme="minorEastAsia" w:hAnsi="Times New Roman" w:cs="Times New Roman"/>
          <w:sz w:val="24"/>
          <w:szCs w:val="24"/>
        </w:rPr>
      </w:pPr>
      <w:proofErr w:type="spellStart"/>
      <w:proofErr w:type="gramStart"/>
      <w:r w:rsidRPr="00AA7D84">
        <w:rPr>
          <w:rFonts w:ascii="Cambria Math" w:hAnsi="Cambria Math" w:cs="Times New Roman"/>
          <w:sz w:val="32"/>
          <w:szCs w:val="32"/>
        </w:rPr>
        <w:t>φ</w:t>
      </w:r>
      <w:r w:rsidRPr="00AA7D84">
        <w:rPr>
          <w:rFonts w:ascii="Cambria Math" w:hAnsi="Cambria Math" w:cs="Times New Roman"/>
          <w:sz w:val="32"/>
          <w:szCs w:val="32"/>
          <w:vertAlign w:val="subscript"/>
        </w:rPr>
        <w:t>r</w:t>
      </w:r>
      <w:proofErr w:type="spellEnd"/>
      <w:proofErr w:type="gramEnd"/>
      <w:r w:rsidRPr="00AA7D84">
        <w:rPr>
          <w:rFonts w:ascii="Cambria Math" w:hAnsi="Cambria Math" w:cs="Times New Roman"/>
          <w:sz w:val="32"/>
          <w:szCs w:val="32"/>
          <w:vertAlign w:val="subscript"/>
        </w:rPr>
        <w:t xml:space="preserve"> </w:t>
      </w:r>
      <w:r w:rsidRPr="00AA7D84">
        <w:rPr>
          <w:rFonts w:ascii="Cambria Math" w:hAnsi="Cambria Math" w:cs="Times New Roman"/>
          <w:sz w:val="32"/>
          <w:szCs w:val="32"/>
        </w:rPr>
        <w:t>(</w:t>
      </w:r>
      <w:r w:rsidRPr="00AA7D84">
        <w:rPr>
          <w:rFonts w:ascii="Times New Roman" w:hAnsi="Times New Roman" w:cs="Times New Roman"/>
          <w:i/>
          <w:sz w:val="24"/>
          <w:szCs w:val="24"/>
        </w:rPr>
        <w:t>REV)</w:t>
      </w:r>
      <w:r w:rsidRPr="00AA7D8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-0.127</m:t>
            </m:r>
          </m:e>
          <m:sub>
            <m:r>
              <w:rPr>
                <w:rFonts w:ascii="Cambria Math" w:hAnsi="Cambria Math" w:cs="Times New Roman"/>
                <w:sz w:val="24"/>
                <w:szCs w:val="24"/>
              </w:rPr>
              <m:t>SHOP</m:t>
            </m:r>
          </m:sub>
        </m:sSub>
      </m:oMath>
      <w:r w:rsidRPr="00AA7D8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0.880</m:t>
            </m:r>
          </m:e>
          <m:sub>
            <m:r>
              <w:rPr>
                <w:rFonts w:ascii="Cambria Math" w:eastAsiaTheme="minorEastAsia" w:hAnsi="Cambria Math" w:cs="Times New Roman"/>
                <w:sz w:val="24"/>
                <w:szCs w:val="24"/>
              </w:rPr>
              <m:t>EDUC</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0.232</m:t>
            </m:r>
          </m:e>
          <m:sub>
            <m:r>
              <w:rPr>
                <w:rFonts w:ascii="Cambria Math" w:eastAsiaTheme="minorEastAsia" w:hAnsi="Cambria Math" w:cs="Times New Roman"/>
                <w:sz w:val="24"/>
                <w:szCs w:val="24"/>
              </w:rPr>
              <m:t>ROAD</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-0.115</m:t>
            </m:r>
          </m:e>
          <m:sub>
            <m:r>
              <w:rPr>
                <w:rFonts w:ascii="Cambria Math" w:eastAsiaTheme="minorEastAsia" w:hAnsi="Cambria Math" w:cs="Times New Roman"/>
                <w:sz w:val="24"/>
                <w:szCs w:val="24"/>
              </w:rPr>
              <m:t>REFUSE</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0.281</m:t>
            </m:r>
          </m:e>
          <m:sub>
            <m:r>
              <w:rPr>
                <w:rFonts w:ascii="Cambria Math" w:eastAsiaTheme="minorEastAsia" w:hAnsi="Cambria Math" w:cs="Times New Roman"/>
                <w:sz w:val="24"/>
                <w:szCs w:val="24"/>
              </w:rPr>
              <m:t>SECURE</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0.384</m:t>
            </m:r>
          </m:e>
          <m:sub>
            <m:r>
              <w:rPr>
                <w:rFonts w:ascii="Cambria Math" w:eastAsiaTheme="minorEastAsia" w:hAnsi="Cambria Math" w:cs="Times New Roman"/>
                <w:sz w:val="24"/>
                <w:szCs w:val="24"/>
              </w:rPr>
              <m:t>ELECT</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0.162</m:t>
            </m:r>
          </m:e>
          <m:sub>
            <m:r>
              <w:rPr>
                <w:rFonts w:ascii="Cambria Math" w:eastAsiaTheme="minorEastAsia" w:hAnsi="Cambria Math" w:cs="Times New Roman"/>
                <w:sz w:val="24"/>
                <w:szCs w:val="24"/>
              </w:rPr>
              <m:t>WATER</m:t>
            </m:r>
          </m:sub>
        </m:sSub>
      </m:oMath>
      <w:r w:rsidRPr="00AA7D84">
        <w:rPr>
          <w:rFonts w:ascii="Times New Roman" w:eastAsiaTheme="minorEastAsia" w:hAnsi="Times New Roman" w:cs="Times New Roman"/>
          <w:sz w:val="24"/>
          <w:szCs w:val="24"/>
        </w:rPr>
        <w:t xml:space="preserve">  + </w:t>
      </w:r>
      <w:r w:rsidRPr="00AA7D84">
        <w:rPr>
          <w:rFonts w:ascii="Times New Roman" w:eastAsiaTheme="minorEastAsia" w:hAnsi="Times New Roman" w:cs="Times New Roman"/>
          <w:i/>
          <w:sz w:val="24"/>
          <w:szCs w:val="24"/>
        </w:rPr>
        <w:t xml:space="preserve">e </w:t>
      </w:r>
      <w:r w:rsidRPr="00AA7D84">
        <w:rPr>
          <w:rFonts w:ascii="Times New Roman" w:eastAsiaTheme="minorEastAsia" w:hAnsi="Times New Roman" w:cs="Times New Roman"/>
          <w:sz w:val="24"/>
          <w:szCs w:val="24"/>
        </w:rPr>
        <w:t>……………………….….(16)</w:t>
      </w:r>
    </w:p>
    <w:p w:rsidR="007B2DBD" w:rsidRPr="00AA7D84" w:rsidRDefault="007B2DBD" w:rsidP="007D374C">
      <w:pPr>
        <w:tabs>
          <w:tab w:val="left" w:pos="426"/>
        </w:tabs>
        <w:spacing w:after="0"/>
        <w:ind w:right="95"/>
        <w:jc w:val="both"/>
        <w:rPr>
          <w:rFonts w:ascii="Times New Roman" w:hAnsi="Times New Roman" w:cs="Times New Roman"/>
          <w:b/>
          <w:sz w:val="24"/>
          <w:szCs w:val="24"/>
        </w:rPr>
      </w:pPr>
      <w:r w:rsidRPr="00AA7D84">
        <w:rPr>
          <w:rFonts w:ascii="Times New Roman" w:hAnsi="Times New Roman" w:cs="Times New Roman"/>
          <w:b/>
          <w:sz w:val="24"/>
          <w:szCs w:val="24"/>
        </w:rPr>
        <w:t>ii.</w:t>
      </w:r>
      <w:r w:rsidRPr="00AA7D84">
        <w:tab/>
      </w:r>
      <w:r w:rsidRPr="00AA7D84">
        <w:rPr>
          <w:rFonts w:ascii="Times New Roman" w:hAnsi="Times New Roman" w:cs="Times New Roman"/>
          <w:b/>
          <w:sz w:val="24"/>
          <w:szCs w:val="24"/>
        </w:rPr>
        <w:t>One bedroom apartments</w:t>
      </w:r>
    </w:p>
    <w:p w:rsidR="007B2DBD" w:rsidRPr="00AA7D84" w:rsidRDefault="007B2DBD" w:rsidP="007D374C">
      <w:pPr>
        <w:ind w:left="851" w:right="95" w:hanging="425"/>
        <w:jc w:val="both"/>
        <w:rPr>
          <w:rFonts w:ascii="Times New Roman" w:eastAsiaTheme="minorEastAsia" w:hAnsi="Times New Roman" w:cs="Times New Roman"/>
          <w:sz w:val="24"/>
          <w:szCs w:val="24"/>
        </w:rPr>
      </w:pPr>
      <w:proofErr w:type="spellStart"/>
      <w:proofErr w:type="gramStart"/>
      <w:r w:rsidRPr="00AA7D84">
        <w:rPr>
          <w:rFonts w:ascii="Cambria Math" w:hAnsi="Cambria Math" w:cs="Times New Roman"/>
          <w:sz w:val="32"/>
          <w:szCs w:val="32"/>
        </w:rPr>
        <w:t>φ</w:t>
      </w:r>
      <w:r w:rsidRPr="00AA7D84">
        <w:rPr>
          <w:rFonts w:ascii="Cambria Math" w:hAnsi="Cambria Math" w:cs="Times New Roman"/>
          <w:sz w:val="32"/>
          <w:szCs w:val="32"/>
          <w:vertAlign w:val="subscript"/>
        </w:rPr>
        <w:t>r</w:t>
      </w:r>
      <w:proofErr w:type="spellEnd"/>
      <w:proofErr w:type="gramEnd"/>
      <w:r w:rsidRPr="00AA7D84">
        <w:rPr>
          <w:rFonts w:ascii="Cambria Math" w:hAnsi="Cambria Math" w:cs="Times New Roman"/>
          <w:sz w:val="32"/>
          <w:szCs w:val="32"/>
          <w:vertAlign w:val="subscript"/>
        </w:rPr>
        <w:t xml:space="preserve"> </w:t>
      </w:r>
      <w:r w:rsidRPr="00AA7D84">
        <w:rPr>
          <w:rFonts w:ascii="Cambria Math" w:hAnsi="Cambria Math" w:cs="Times New Roman"/>
          <w:sz w:val="32"/>
          <w:szCs w:val="32"/>
        </w:rPr>
        <w:t>(</w:t>
      </w:r>
      <w:r w:rsidRPr="00AA7D84">
        <w:rPr>
          <w:rFonts w:ascii="Times New Roman" w:hAnsi="Times New Roman" w:cs="Times New Roman"/>
          <w:i/>
          <w:sz w:val="24"/>
          <w:szCs w:val="24"/>
        </w:rPr>
        <w:t>REV)</w:t>
      </w:r>
      <w:r w:rsidRPr="00AA7D8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0.085</m:t>
            </m:r>
          </m:e>
          <m:sub>
            <m:r>
              <w:rPr>
                <w:rFonts w:ascii="Cambria Math" w:hAnsi="Cambria Math" w:cs="Times New Roman"/>
                <w:sz w:val="24"/>
                <w:szCs w:val="24"/>
              </w:rPr>
              <m:t>SHOP</m:t>
            </m:r>
          </m:sub>
        </m:sSub>
      </m:oMath>
      <w:r w:rsidRPr="00AA7D84">
        <w:rPr>
          <w:rFonts w:ascii="Times New Roman" w:eastAsiaTheme="minorEastAsia" w:hAnsi="Times New Roman" w:cs="Times New Roman"/>
          <w:sz w:val="24"/>
          <w:szCs w:val="24"/>
        </w:rPr>
        <w:t xml:space="preserve"> </w:t>
      </w:r>
      <w:r w:rsidRPr="00AA7D8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0.142</m:t>
            </m:r>
          </m:e>
          <m:sub>
            <m:r>
              <w:rPr>
                <w:rFonts w:ascii="Cambria Math" w:hAnsi="Cambria Math" w:cs="Times New Roman"/>
                <w:sz w:val="24"/>
                <w:szCs w:val="24"/>
              </w:rPr>
              <m:t xml:space="preserve">EDUC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-0.128</m:t>
            </m:r>
          </m:e>
          <m:sub>
            <m:r>
              <w:rPr>
                <w:rFonts w:ascii="Cambria Math" w:eastAsiaTheme="minorEastAsia" w:hAnsi="Cambria Math" w:cs="Times New Roman"/>
                <w:sz w:val="24"/>
                <w:szCs w:val="24"/>
              </w:rPr>
              <m:t>HEALTH</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0.319</m:t>
            </m:r>
          </m:e>
          <m:sub>
            <m:r>
              <w:rPr>
                <w:rFonts w:ascii="Cambria Math" w:eastAsiaTheme="minorEastAsia" w:hAnsi="Cambria Math" w:cs="Times New Roman"/>
                <w:sz w:val="24"/>
                <w:szCs w:val="24"/>
              </w:rPr>
              <m:t>ROAD</m:t>
            </m:r>
          </m:sub>
        </m:sSub>
        <m:r>
          <w:rPr>
            <w:rFonts w:ascii="Cambria Math" w:eastAsiaTheme="minorEastAsia" w:hAnsi="Cambria Math" w:cs="Times New Roman"/>
            <w:sz w:val="24"/>
            <w:szCs w:val="24"/>
          </w:rPr>
          <m:t xml:space="preserve"> </m:t>
        </m:r>
      </m:oMath>
      <w:r w:rsidRPr="00AA7D8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0.196</m:t>
            </m:r>
          </m:e>
          <m:sub>
            <m:r>
              <w:rPr>
                <w:rFonts w:ascii="Cambria Math" w:eastAsiaTheme="minorEastAsia" w:hAnsi="Cambria Math" w:cs="Times New Roman"/>
                <w:sz w:val="24"/>
                <w:szCs w:val="24"/>
              </w:rPr>
              <m:t>SECURE</m:t>
            </m:r>
          </m:sub>
        </m:sSub>
      </m:oMath>
      <w:r w:rsidRPr="00AA7D8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0.611</m:t>
            </m:r>
          </m:e>
          <m:sub>
            <m:r>
              <w:rPr>
                <w:rFonts w:ascii="Cambria Math" w:eastAsiaTheme="minorEastAsia" w:hAnsi="Cambria Math" w:cs="Times New Roman"/>
                <w:sz w:val="24"/>
                <w:szCs w:val="24"/>
              </w:rPr>
              <m:t>ELECT</m:t>
            </m:r>
          </m:sub>
        </m:sSub>
      </m:oMath>
      <w:r w:rsidRPr="00AA7D84">
        <w:rPr>
          <w:rFonts w:ascii="Times New Roman" w:eastAsiaTheme="minorEastAsia" w:hAnsi="Times New Roman" w:cs="Times New Roman"/>
          <w:sz w:val="24"/>
          <w:szCs w:val="24"/>
        </w:rPr>
        <w:t xml:space="preserve"> + </w:t>
      </w:r>
      <w:r w:rsidRPr="00AA7D84">
        <w:rPr>
          <w:rFonts w:ascii="Times New Roman" w:eastAsiaTheme="minorEastAsia" w:hAnsi="Times New Roman" w:cs="Times New Roman"/>
          <w:i/>
          <w:sz w:val="24"/>
          <w:szCs w:val="24"/>
        </w:rPr>
        <w:t>e</w:t>
      </w:r>
      <w:r w:rsidRPr="00AA7D84">
        <w:rPr>
          <w:rFonts w:ascii="Times New Roman" w:eastAsiaTheme="minorEastAsia" w:hAnsi="Times New Roman" w:cs="Times New Roman"/>
          <w:sz w:val="24"/>
          <w:szCs w:val="24"/>
        </w:rPr>
        <w:t xml:space="preserve"> …………………………………………….(17)</w:t>
      </w:r>
    </w:p>
    <w:p w:rsidR="007B2DBD" w:rsidRPr="00AA7D84" w:rsidRDefault="007B2DBD" w:rsidP="007D374C">
      <w:pPr>
        <w:tabs>
          <w:tab w:val="left" w:pos="1134"/>
        </w:tabs>
        <w:spacing w:after="0"/>
        <w:ind w:left="720" w:right="95" w:hanging="720"/>
        <w:jc w:val="both"/>
        <w:rPr>
          <w:rFonts w:ascii="Times New Roman" w:hAnsi="Times New Roman" w:cs="Times New Roman"/>
          <w:b/>
          <w:sz w:val="24"/>
          <w:szCs w:val="24"/>
        </w:rPr>
      </w:pPr>
      <w:r w:rsidRPr="00AA7D84">
        <w:rPr>
          <w:rFonts w:ascii="Times New Roman" w:hAnsi="Times New Roman" w:cs="Times New Roman"/>
          <w:b/>
          <w:sz w:val="24"/>
          <w:szCs w:val="24"/>
        </w:rPr>
        <w:t xml:space="preserve"> Model Testing (Comparing predicted rental values with the actual rental values)</w:t>
      </w:r>
    </w:p>
    <w:p w:rsidR="007B2DBD" w:rsidRPr="00AA7D84" w:rsidRDefault="007B2DBD" w:rsidP="007D374C">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The mean of predicted rental values were computed for each house type across the neighbourhoods and compared to the means of the actual rental values collated in the course of data collection. Line graphs showing the actual </w:t>
      </w:r>
      <w:proofErr w:type="spellStart"/>
      <w:r w:rsidRPr="00AA7D84">
        <w:rPr>
          <w:rFonts w:ascii="Times New Roman" w:hAnsi="Times New Roman" w:cs="Times New Roman"/>
          <w:sz w:val="24"/>
          <w:szCs w:val="24"/>
        </w:rPr>
        <w:t>Vs</w:t>
      </w:r>
      <w:proofErr w:type="spellEnd"/>
      <w:r w:rsidRPr="00AA7D84">
        <w:rPr>
          <w:rFonts w:ascii="Times New Roman" w:hAnsi="Times New Roman" w:cs="Times New Roman"/>
          <w:sz w:val="24"/>
          <w:szCs w:val="24"/>
        </w:rPr>
        <w:t xml:space="preserve"> predicted rental values for each house type are shown in figures 1</w:t>
      </w:r>
      <w:r w:rsidR="00C1172C">
        <w:rPr>
          <w:rFonts w:ascii="Times New Roman" w:hAnsi="Times New Roman" w:cs="Times New Roman"/>
          <w:sz w:val="24"/>
          <w:szCs w:val="24"/>
        </w:rPr>
        <w:t xml:space="preserve"> and </w:t>
      </w:r>
      <w:r w:rsidRPr="00AA7D84">
        <w:rPr>
          <w:rFonts w:ascii="Times New Roman" w:hAnsi="Times New Roman" w:cs="Times New Roman"/>
          <w:sz w:val="24"/>
          <w:szCs w:val="24"/>
        </w:rPr>
        <w:t>2.</w:t>
      </w:r>
    </w:p>
    <w:p w:rsidR="007B2DBD" w:rsidRPr="00AA7D84" w:rsidRDefault="007B2DBD" w:rsidP="007D374C">
      <w:pPr>
        <w:ind w:right="95"/>
        <w:jc w:val="both"/>
        <w:rPr>
          <w:rFonts w:ascii="Times New Roman" w:hAnsi="Times New Roman" w:cs="Times New Roman"/>
          <w:sz w:val="24"/>
          <w:szCs w:val="24"/>
        </w:rPr>
      </w:pPr>
      <w:r w:rsidRPr="00AA7D84">
        <w:rPr>
          <w:noProof/>
          <w:lang w:eastAsia="en-GB"/>
        </w:rPr>
        <w:drawing>
          <wp:inline distT="0" distB="0" distL="0" distR="0" wp14:anchorId="42C42E4A" wp14:editId="7B30B2A2">
            <wp:extent cx="5403273" cy="2363190"/>
            <wp:effectExtent l="0" t="0" r="2603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2DBD" w:rsidRPr="00AA7D84" w:rsidRDefault="007B2DBD" w:rsidP="007D374C">
      <w:pPr>
        <w:spacing w:after="0"/>
        <w:ind w:right="95"/>
        <w:jc w:val="both"/>
        <w:rPr>
          <w:rFonts w:ascii="Times New Roman" w:hAnsi="Times New Roman" w:cs="Times New Roman"/>
          <w:b/>
          <w:sz w:val="24"/>
          <w:szCs w:val="24"/>
        </w:rPr>
      </w:pPr>
      <w:proofErr w:type="gramStart"/>
      <w:r w:rsidRPr="00AA7D84">
        <w:rPr>
          <w:rFonts w:ascii="Times New Roman" w:hAnsi="Times New Roman" w:cs="Times New Roman"/>
          <w:b/>
          <w:sz w:val="24"/>
          <w:szCs w:val="24"/>
        </w:rPr>
        <w:t>Figure 12.</w:t>
      </w:r>
      <w:proofErr w:type="gramEnd"/>
      <w:r w:rsidRPr="00AA7D84">
        <w:rPr>
          <w:rFonts w:ascii="Times New Roman" w:hAnsi="Times New Roman" w:cs="Times New Roman"/>
          <w:b/>
          <w:sz w:val="24"/>
          <w:szCs w:val="24"/>
        </w:rPr>
        <w:t xml:space="preserve"> Actual </w:t>
      </w:r>
      <w:proofErr w:type="spellStart"/>
      <w:r w:rsidRPr="00AA7D84">
        <w:rPr>
          <w:rFonts w:ascii="Times New Roman" w:hAnsi="Times New Roman" w:cs="Times New Roman"/>
          <w:b/>
          <w:sz w:val="24"/>
          <w:szCs w:val="24"/>
        </w:rPr>
        <w:t>Vs</w:t>
      </w:r>
      <w:proofErr w:type="spellEnd"/>
      <w:r w:rsidRPr="00AA7D84">
        <w:rPr>
          <w:rFonts w:ascii="Times New Roman" w:hAnsi="Times New Roman" w:cs="Times New Roman"/>
          <w:b/>
          <w:sz w:val="24"/>
          <w:szCs w:val="24"/>
        </w:rPr>
        <w:t xml:space="preserve"> Predicted </w:t>
      </w:r>
      <w:proofErr w:type="gramStart"/>
      <w:r w:rsidRPr="00AA7D84">
        <w:rPr>
          <w:rFonts w:ascii="Times New Roman" w:hAnsi="Times New Roman" w:cs="Times New Roman"/>
          <w:b/>
          <w:sz w:val="24"/>
          <w:szCs w:val="24"/>
        </w:rPr>
        <w:t>mean</w:t>
      </w:r>
      <w:proofErr w:type="gramEnd"/>
      <w:r w:rsidRPr="00AA7D84">
        <w:rPr>
          <w:rFonts w:ascii="Times New Roman" w:hAnsi="Times New Roman" w:cs="Times New Roman"/>
          <w:b/>
          <w:sz w:val="24"/>
          <w:szCs w:val="24"/>
        </w:rPr>
        <w:t xml:space="preserve"> rental values of tenement buildings </w:t>
      </w:r>
    </w:p>
    <w:p w:rsidR="007B2DBD" w:rsidRPr="00AA7D84" w:rsidRDefault="007B2DBD" w:rsidP="007D374C">
      <w:pPr>
        <w:ind w:right="95"/>
        <w:jc w:val="both"/>
        <w:rPr>
          <w:rFonts w:ascii="Times New Roman" w:hAnsi="Times New Roman" w:cs="Times New Roman"/>
          <w:b/>
          <w:sz w:val="24"/>
          <w:szCs w:val="24"/>
        </w:rPr>
      </w:pPr>
      <w:r w:rsidRPr="00AA7D84">
        <w:rPr>
          <w:rFonts w:ascii="Times New Roman" w:hAnsi="Times New Roman" w:cs="Times New Roman"/>
          <w:b/>
          <w:sz w:val="24"/>
          <w:szCs w:val="24"/>
        </w:rPr>
        <w:t>Data analysis, 201</w:t>
      </w:r>
      <w:r w:rsidR="00A157E6">
        <w:rPr>
          <w:rFonts w:ascii="Times New Roman" w:hAnsi="Times New Roman" w:cs="Times New Roman"/>
          <w:b/>
          <w:sz w:val="24"/>
          <w:szCs w:val="24"/>
        </w:rPr>
        <w:t>9</w:t>
      </w:r>
    </w:p>
    <w:p w:rsidR="007B2DBD" w:rsidRPr="00AA7D84" w:rsidRDefault="007B2DBD" w:rsidP="007D374C">
      <w:pPr>
        <w:ind w:right="95"/>
        <w:jc w:val="both"/>
        <w:rPr>
          <w:rFonts w:ascii="Times New Roman" w:hAnsi="Times New Roman" w:cs="Times New Roman"/>
          <w:sz w:val="24"/>
          <w:szCs w:val="24"/>
        </w:rPr>
      </w:pPr>
      <w:r w:rsidRPr="00AA7D84">
        <w:rPr>
          <w:noProof/>
          <w:lang w:eastAsia="en-GB"/>
        </w:rPr>
        <w:drawing>
          <wp:inline distT="0" distB="0" distL="0" distR="0" wp14:anchorId="1641E452" wp14:editId="78E0CDD1">
            <wp:extent cx="5237018" cy="1935678"/>
            <wp:effectExtent l="0" t="0" r="2095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2DBD" w:rsidRPr="00AA7D84" w:rsidRDefault="007B2DBD" w:rsidP="007D374C">
      <w:pPr>
        <w:spacing w:after="0"/>
        <w:ind w:right="95"/>
        <w:jc w:val="both"/>
        <w:rPr>
          <w:rFonts w:ascii="Times New Roman" w:hAnsi="Times New Roman" w:cs="Times New Roman"/>
          <w:b/>
          <w:sz w:val="24"/>
          <w:szCs w:val="24"/>
        </w:rPr>
      </w:pPr>
      <w:proofErr w:type="gramStart"/>
      <w:r w:rsidRPr="00AA7D84">
        <w:rPr>
          <w:rFonts w:ascii="Times New Roman" w:hAnsi="Times New Roman" w:cs="Times New Roman"/>
          <w:b/>
          <w:sz w:val="24"/>
          <w:szCs w:val="24"/>
        </w:rPr>
        <w:t>Figure 13.</w:t>
      </w:r>
      <w:proofErr w:type="gramEnd"/>
      <w:r w:rsidRPr="00AA7D84">
        <w:rPr>
          <w:rFonts w:ascii="Times New Roman" w:hAnsi="Times New Roman" w:cs="Times New Roman"/>
          <w:b/>
          <w:sz w:val="24"/>
          <w:szCs w:val="24"/>
        </w:rPr>
        <w:t xml:space="preserve"> Actual and Predicted rental values of one bedroom apartments</w:t>
      </w:r>
    </w:p>
    <w:p w:rsidR="007B2DBD" w:rsidRPr="00AA7D84" w:rsidRDefault="007B2DBD" w:rsidP="007D374C">
      <w:pPr>
        <w:rPr>
          <w:rFonts w:ascii="Times New Roman" w:hAnsi="Times New Roman" w:cs="Times New Roman"/>
          <w:b/>
          <w:sz w:val="24"/>
          <w:szCs w:val="24"/>
        </w:rPr>
      </w:pPr>
      <w:r w:rsidRPr="00AA7D84">
        <w:rPr>
          <w:rFonts w:ascii="Times New Roman" w:hAnsi="Times New Roman" w:cs="Times New Roman"/>
          <w:b/>
          <w:sz w:val="24"/>
          <w:szCs w:val="24"/>
        </w:rPr>
        <w:t>Data analysis, 201</w:t>
      </w:r>
      <w:r w:rsidR="00A157E6">
        <w:rPr>
          <w:rFonts w:ascii="Times New Roman" w:hAnsi="Times New Roman" w:cs="Times New Roman"/>
          <w:b/>
          <w:sz w:val="24"/>
          <w:szCs w:val="24"/>
        </w:rPr>
        <w:t>9</w:t>
      </w:r>
    </w:p>
    <w:p w:rsidR="00A157E6" w:rsidRDefault="00A157E6" w:rsidP="007D374C">
      <w:pPr>
        <w:ind w:right="95"/>
        <w:jc w:val="both"/>
        <w:rPr>
          <w:rFonts w:ascii="Times New Roman" w:hAnsi="Times New Roman" w:cs="Times New Roman"/>
          <w:b/>
          <w:sz w:val="24"/>
          <w:szCs w:val="24"/>
        </w:rPr>
      </w:pPr>
    </w:p>
    <w:p w:rsidR="00A157E6" w:rsidRPr="00AA7D84" w:rsidRDefault="00A157E6" w:rsidP="00A157E6">
      <w:pPr>
        <w:ind w:right="95"/>
        <w:jc w:val="both"/>
        <w:rPr>
          <w:rFonts w:ascii="Times New Roman" w:hAnsi="Times New Roman" w:cs="Times New Roman"/>
          <w:sz w:val="24"/>
          <w:szCs w:val="24"/>
        </w:rPr>
      </w:pPr>
      <w:r w:rsidRPr="00AA7D84">
        <w:rPr>
          <w:rFonts w:ascii="Times New Roman" w:hAnsi="Times New Roman" w:cs="Times New Roman"/>
          <w:sz w:val="24"/>
          <w:szCs w:val="24"/>
        </w:rPr>
        <w:lastRenderedPageBreak/>
        <w:t>Figure</w:t>
      </w:r>
      <w:r>
        <w:rPr>
          <w:rFonts w:ascii="Times New Roman" w:hAnsi="Times New Roman" w:cs="Times New Roman"/>
          <w:sz w:val="24"/>
          <w:szCs w:val="24"/>
        </w:rPr>
        <w:t xml:space="preserve">s </w:t>
      </w:r>
      <w:r w:rsidRPr="00AA7D84">
        <w:rPr>
          <w:rFonts w:ascii="Times New Roman" w:hAnsi="Times New Roman" w:cs="Times New Roman"/>
          <w:sz w:val="24"/>
          <w:szCs w:val="24"/>
        </w:rPr>
        <w:t>1</w:t>
      </w:r>
      <w:r>
        <w:rPr>
          <w:rFonts w:ascii="Times New Roman" w:hAnsi="Times New Roman" w:cs="Times New Roman"/>
          <w:sz w:val="24"/>
          <w:szCs w:val="24"/>
        </w:rPr>
        <w:t xml:space="preserve"> and </w:t>
      </w:r>
      <w:r w:rsidRPr="00AA7D84">
        <w:rPr>
          <w:rFonts w:ascii="Times New Roman" w:hAnsi="Times New Roman" w:cs="Times New Roman"/>
          <w:sz w:val="24"/>
          <w:szCs w:val="24"/>
        </w:rPr>
        <w:t xml:space="preserve">2 showed predicted mean rental values that are reasonably similar to the means of the actual rental values of the dwelling units. </w:t>
      </w:r>
    </w:p>
    <w:p w:rsidR="00554AFB" w:rsidRPr="00554AFB" w:rsidRDefault="00554AFB" w:rsidP="007D374C">
      <w:pPr>
        <w:ind w:right="95"/>
        <w:jc w:val="both"/>
        <w:rPr>
          <w:rFonts w:ascii="Times New Roman" w:hAnsi="Times New Roman" w:cs="Times New Roman"/>
          <w:b/>
          <w:sz w:val="24"/>
          <w:szCs w:val="24"/>
        </w:rPr>
      </w:pPr>
      <w:r w:rsidRPr="00554AFB">
        <w:rPr>
          <w:rFonts w:ascii="Times New Roman" w:hAnsi="Times New Roman" w:cs="Times New Roman"/>
          <w:b/>
          <w:sz w:val="24"/>
          <w:szCs w:val="24"/>
        </w:rPr>
        <w:t>Conclusion</w:t>
      </w:r>
    </w:p>
    <w:p w:rsidR="007B2DBD" w:rsidRDefault="00493C81" w:rsidP="007D374C">
      <w:pPr>
        <w:ind w:right="95"/>
        <w:jc w:val="both"/>
        <w:rPr>
          <w:rFonts w:ascii="Times New Roman" w:hAnsi="Times New Roman" w:cs="Times New Roman"/>
          <w:sz w:val="24"/>
          <w:szCs w:val="24"/>
        </w:rPr>
      </w:pPr>
      <w:r w:rsidRPr="00AA7D84">
        <w:rPr>
          <w:rFonts w:ascii="Times New Roman" w:hAnsi="Times New Roman" w:cs="Times New Roman"/>
          <w:sz w:val="24"/>
          <w:szCs w:val="24"/>
        </w:rPr>
        <w:t xml:space="preserve">It is important to note that each of the </w:t>
      </w:r>
      <w:r w:rsidR="00F573C8">
        <w:rPr>
          <w:rFonts w:ascii="Times New Roman" w:hAnsi="Times New Roman" w:cs="Times New Roman"/>
          <w:sz w:val="24"/>
          <w:szCs w:val="24"/>
        </w:rPr>
        <w:t>amenities</w:t>
      </w:r>
      <w:r w:rsidRPr="00AA7D84">
        <w:rPr>
          <w:rFonts w:ascii="Times New Roman" w:hAnsi="Times New Roman" w:cs="Times New Roman"/>
          <w:sz w:val="24"/>
          <w:szCs w:val="24"/>
        </w:rPr>
        <w:t xml:space="preserve"> made distinct contributions to the rental values of each of the house types. For tenement buildings, closer distances to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and refuse dumps brought about a decline in rental values, while closer distances to educational institutions and major roads enhanced the rental values. Other </w:t>
      </w:r>
      <w:r w:rsidR="00F573C8">
        <w:rPr>
          <w:rFonts w:ascii="Times New Roman" w:hAnsi="Times New Roman" w:cs="Times New Roman"/>
          <w:sz w:val="24"/>
          <w:szCs w:val="24"/>
        </w:rPr>
        <w:t>amenities</w:t>
      </w:r>
      <w:r w:rsidRPr="00AA7D84">
        <w:rPr>
          <w:rFonts w:ascii="Times New Roman" w:hAnsi="Times New Roman" w:cs="Times New Roman"/>
          <w:sz w:val="24"/>
          <w:szCs w:val="24"/>
        </w:rPr>
        <w:t xml:space="preserve"> that enhanced the rental values of tenement buildings in the study area were: improved neighbourhood security, electricity supply, and water supply. Findings also revealed that for one bedroom apartments, closer distances to shopping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educational institutions, and major roads, as well as improved security and electricity supply resulted in a significant improvement / enhancement in rental values. On the contrary, closer distances of one bedroom apartments to health care </w:t>
      </w:r>
      <w:proofErr w:type="spellStart"/>
      <w:r w:rsidRPr="00AA7D84">
        <w:rPr>
          <w:rFonts w:ascii="Times New Roman" w:hAnsi="Times New Roman" w:cs="Times New Roman"/>
          <w:sz w:val="24"/>
          <w:szCs w:val="24"/>
        </w:rPr>
        <w:t>centers</w:t>
      </w:r>
      <w:proofErr w:type="spellEnd"/>
      <w:r w:rsidRPr="00AA7D84">
        <w:rPr>
          <w:rFonts w:ascii="Times New Roman" w:hAnsi="Times New Roman" w:cs="Times New Roman"/>
          <w:sz w:val="24"/>
          <w:szCs w:val="24"/>
        </w:rPr>
        <w:t xml:space="preserve"> resulted in a significant decline in their rental values.</w:t>
      </w:r>
    </w:p>
    <w:p w:rsidR="0033230F" w:rsidRPr="0033230F" w:rsidRDefault="0033230F" w:rsidP="007D374C">
      <w:pPr>
        <w:ind w:right="95"/>
        <w:jc w:val="both"/>
        <w:rPr>
          <w:rFonts w:ascii="Times New Roman" w:hAnsi="Times New Roman" w:cs="Times New Roman"/>
          <w:b/>
          <w:sz w:val="24"/>
          <w:szCs w:val="24"/>
        </w:rPr>
      </w:pPr>
      <w:r w:rsidRPr="0033230F">
        <w:rPr>
          <w:rFonts w:ascii="Times New Roman" w:hAnsi="Times New Roman" w:cs="Times New Roman"/>
          <w:b/>
          <w:sz w:val="24"/>
          <w:szCs w:val="24"/>
        </w:rPr>
        <w:t>References</w:t>
      </w:r>
    </w:p>
    <w:p w:rsidR="00A4735F" w:rsidRDefault="00A4735F" w:rsidP="007D374C"/>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Ansah</w:t>
      </w:r>
      <w:proofErr w:type="spellEnd"/>
      <w:r w:rsidRPr="00472D19">
        <w:rPr>
          <w:rFonts w:ascii="Times New Roman" w:eastAsia="Calibri" w:hAnsi="Times New Roman" w:cs="Times New Roman"/>
          <w:sz w:val="24"/>
          <w:szCs w:val="24"/>
        </w:rPr>
        <w:t xml:space="preserve">, A.O. (2012). </w:t>
      </w:r>
      <w:proofErr w:type="gramStart"/>
      <w:r w:rsidRPr="00472D19">
        <w:rPr>
          <w:rFonts w:ascii="Times New Roman" w:eastAsia="Calibri" w:hAnsi="Times New Roman" w:cs="Times New Roman"/>
          <w:sz w:val="24"/>
          <w:szCs w:val="24"/>
        </w:rPr>
        <w:t>Examination of the Determinants of Housing Values in Urban Ghana and Implications for Policy Makers.</w:t>
      </w:r>
      <w:proofErr w:type="gramEnd"/>
      <w:r w:rsidRPr="00472D19">
        <w:rPr>
          <w:rFonts w:ascii="Times New Roman" w:eastAsia="Calibri" w:hAnsi="Times New Roman" w:cs="Times New Roman"/>
          <w:sz w:val="24"/>
          <w:szCs w:val="24"/>
        </w:rPr>
        <w:t xml:space="preserve"> Paper presented at the African Real Estate Society Conference in Accra, Ghana from 24</w:t>
      </w:r>
      <w:r w:rsidRPr="00472D19">
        <w:rPr>
          <w:rFonts w:ascii="Times New Roman" w:eastAsia="Calibri" w:hAnsi="Times New Roman" w:cs="Times New Roman"/>
          <w:sz w:val="24"/>
          <w:szCs w:val="24"/>
          <w:vertAlign w:val="superscript"/>
        </w:rPr>
        <w:t>th</w:t>
      </w:r>
      <w:r w:rsidRPr="00472D19">
        <w:rPr>
          <w:rFonts w:ascii="Times New Roman" w:eastAsia="Calibri" w:hAnsi="Times New Roman" w:cs="Times New Roman"/>
          <w:sz w:val="24"/>
          <w:szCs w:val="24"/>
        </w:rPr>
        <w:t xml:space="preserve"> -27</w:t>
      </w:r>
      <w:r w:rsidRPr="00472D19">
        <w:rPr>
          <w:rFonts w:ascii="Times New Roman" w:eastAsia="Calibri" w:hAnsi="Times New Roman" w:cs="Times New Roman"/>
          <w:sz w:val="24"/>
          <w:szCs w:val="24"/>
          <w:vertAlign w:val="superscript"/>
        </w:rPr>
        <w:t>th</w:t>
      </w:r>
      <w:r w:rsidRPr="00472D19">
        <w:rPr>
          <w:rFonts w:ascii="Times New Roman" w:eastAsia="Calibri" w:hAnsi="Times New Roman" w:cs="Times New Roman"/>
          <w:sz w:val="24"/>
          <w:szCs w:val="24"/>
        </w:rPr>
        <w:t xml:space="preserve"> October 2012.</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Boucq</w:t>
      </w:r>
      <w:proofErr w:type="spellEnd"/>
      <w:r w:rsidRPr="00472D19">
        <w:rPr>
          <w:rFonts w:ascii="Times New Roman" w:eastAsia="Calibri" w:hAnsi="Times New Roman" w:cs="Times New Roman"/>
          <w:sz w:val="24"/>
          <w:szCs w:val="24"/>
        </w:rPr>
        <w:t xml:space="preserve">, E. and </w:t>
      </w:r>
      <w:proofErr w:type="spellStart"/>
      <w:r w:rsidRPr="00472D19">
        <w:rPr>
          <w:rFonts w:ascii="Times New Roman" w:eastAsia="Calibri" w:hAnsi="Times New Roman" w:cs="Times New Roman"/>
          <w:sz w:val="24"/>
          <w:szCs w:val="24"/>
        </w:rPr>
        <w:t>Stratec</w:t>
      </w:r>
      <w:proofErr w:type="spellEnd"/>
      <w:r w:rsidRPr="00472D19">
        <w:rPr>
          <w:rFonts w:ascii="Times New Roman" w:eastAsia="Calibri" w:hAnsi="Times New Roman" w:cs="Times New Roman"/>
          <w:sz w:val="24"/>
          <w:szCs w:val="24"/>
        </w:rPr>
        <w:t>, S.A. (2011).</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Estimating the Impact on Housing Price brought by a Light Rail Infrastructure in France.</w:t>
      </w:r>
      <w:proofErr w:type="gramEnd"/>
      <w:r w:rsidRPr="00472D19">
        <w:rPr>
          <w:rFonts w:ascii="Times New Roman" w:eastAsia="Calibri" w:hAnsi="Times New Roman" w:cs="Times New Roman"/>
          <w:sz w:val="24"/>
          <w:szCs w:val="24"/>
        </w:rPr>
        <w:t xml:space="preserve"> Association for European Transport and </w:t>
      </w:r>
      <w:proofErr w:type="gramStart"/>
      <w:r w:rsidRPr="00472D19">
        <w:rPr>
          <w:rFonts w:ascii="Times New Roman" w:eastAsia="Calibri" w:hAnsi="Times New Roman" w:cs="Times New Roman"/>
          <w:sz w:val="24"/>
          <w:szCs w:val="24"/>
        </w:rPr>
        <w:t>Contributors.,</w:t>
      </w:r>
      <w:proofErr w:type="gramEnd"/>
      <w:r w:rsidRPr="00472D19">
        <w:rPr>
          <w:rFonts w:ascii="Times New Roman" w:eastAsia="Calibri" w:hAnsi="Times New Roman" w:cs="Times New Roman"/>
          <w:sz w:val="24"/>
          <w:szCs w:val="24"/>
        </w:rPr>
        <w:t xml:space="preserve"> Available at </w:t>
      </w:r>
      <w:hyperlink r:id="rId9" w:history="1">
        <w:r w:rsidRPr="00472D19">
          <w:rPr>
            <w:rFonts w:ascii="Times New Roman" w:eastAsia="Calibri" w:hAnsi="Times New Roman" w:cs="Times New Roman"/>
            <w:color w:val="0000FF" w:themeColor="hyperlink"/>
            <w:sz w:val="24"/>
            <w:szCs w:val="24"/>
            <w:u w:val="single"/>
          </w:rPr>
          <w:t>www.abstracts.eatransport.org/paper/.../id/3604</w:t>
        </w:r>
      </w:hyperlink>
      <w:r w:rsidRPr="00472D19">
        <w:rPr>
          <w:rFonts w:ascii="Times New Roman" w:eastAsia="Calibri" w:hAnsi="Times New Roman" w:cs="Times New Roman"/>
          <w:sz w:val="24"/>
          <w:szCs w:val="24"/>
        </w:rPr>
        <w:t>.</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Giﬁ</w:t>
      </w:r>
      <w:proofErr w:type="spellEnd"/>
      <w:r w:rsidRPr="00472D19">
        <w:rPr>
          <w:rFonts w:ascii="Times New Roman" w:eastAsia="Calibri" w:hAnsi="Times New Roman" w:cs="Times New Roman"/>
          <w:sz w:val="24"/>
          <w:szCs w:val="24"/>
        </w:rPr>
        <w:t xml:space="preserve">, A. (1990). </w:t>
      </w:r>
      <w:proofErr w:type="gramStart"/>
      <w:r w:rsidRPr="00472D19">
        <w:rPr>
          <w:rFonts w:ascii="Times New Roman" w:eastAsia="Calibri" w:hAnsi="Times New Roman" w:cs="Times New Roman"/>
          <w:i/>
          <w:sz w:val="24"/>
          <w:szCs w:val="24"/>
        </w:rPr>
        <w:t>“Nonlinear Multivariate Analysis.”</w:t>
      </w:r>
      <w:proofErr w:type="gramEnd"/>
      <w:r w:rsidRPr="00472D19">
        <w:rPr>
          <w:rFonts w:ascii="Times New Roman" w:eastAsia="Calibri" w:hAnsi="Times New Roman" w:cs="Times New Roman"/>
          <w:sz w:val="24"/>
          <w:szCs w:val="24"/>
        </w:rPr>
        <w:t xml:space="preserve"> Chichester:  John Wiley and Sons (First edition 1981, Department of Data Theory, University of Leiden.</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Hoen</w:t>
      </w:r>
      <w:proofErr w:type="spellEnd"/>
      <w:r w:rsidRPr="00472D19">
        <w:rPr>
          <w:rFonts w:ascii="Times New Roman" w:eastAsia="Calibri" w:hAnsi="Times New Roman" w:cs="Times New Roman"/>
          <w:sz w:val="24"/>
          <w:szCs w:val="24"/>
        </w:rPr>
        <w:t xml:space="preserve">, B., Wiser, R. Cappers, P., Thayer, M. and </w:t>
      </w:r>
      <w:proofErr w:type="spellStart"/>
      <w:r w:rsidRPr="00472D19">
        <w:rPr>
          <w:rFonts w:ascii="Times New Roman" w:eastAsia="Calibri" w:hAnsi="Times New Roman" w:cs="Times New Roman"/>
          <w:sz w:val="24"/>
          <w:szCs w:val="24"/>
        </w:rPr>
        <w:t>Sethi</w:t>
      </w:r>
      <w:proofErr w:type="spellEnd"/>
      <w:r w:rsidRPr="00472D19">
        <w:rPr>
          <w:rFonts w:ascii="Times New Roman" w:eastAsia="Calibri" w:hAnsi="Times New Roman" w:cs="Times New Roman"/>
          <w:sz w:val="24"/>
          <w:szCs w:val="24"/>
        </w:rPr>
        <w:t>, G. (2011).</w:t>
      </w:r>
      <w:proofErr w:type="gramEnd"/>
      <w:r w:rsidRPr="00472D19">
        <w:rPr>
          <w:rFonts w:ascii="Times New Roman" w:eastAsia="Calibri" w:hAnsi="Times New Roman" w:cs="Times New Roman"/>
          <w:sz w:val="24"/>
          <w:szCs w:val="24"/>
        </w:rPr>
        <w:t xml:space="preserve"> Wind Energy Facilities and Residential Properties: The Effect of Proximity and View on Sales Prices. </w:t>
      </w:r>
      <w:r w:rsidRPr="00472D19">
        <w:rPr>
          <w:rFonts w:ascii="Times New Roman" w:eastAsia="Calibri" w:hAnsi="Times New Roman" w:cs="Times New Roman"/>
          <w:i/>
          <w:sz w:val="24"/>
          <w:szCs w:val="24"/>
        </w:rPr>
        <w:t>Journal of Real Estate Research</w:t>
      </w:r>
      <w:r w:rsidRPr="00472D19">
        <w:rPr>
          <w:rFonts w:ascii="Times New Roman" w:eastAsia="Calibri" w:hAnsi="Times New Roman" w:cs="Times New Roman"/>
          <w:sz w:val="24"/>
          <w:szCs w:val="24"/>
        </w:rPr>
        <w:t xml:space="preserve">, 33 (3), 280-316.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Jacqueline</w:t>
      </w:r>
      <w:proofErr w:type="gramStart"/>
      <w:r w:rsidRPr="00472D19">
        <w:rPr>
          <w:rFonts w:ascii="Times New Roman" w:eastAsia="Calibri" w:hAnsi="Times New Roman" w:cs="Times New Roman"/>
          <w:sz w:val="24"/>
          <w:szCs w:val="24"/>
        </w:rPr>
        <w:t>,J.M</w:t>
      </w:r>
      <w:proofErr w:type="spellEnd"/>
      <w:proofErr w:type="gramEnd"/>
      <w:r w:rsidRPr="00472D19">
        <w:rPr>
          <w:rFonts w:ascii="Times New Roman" w:eastAsia="Calibri" w:hAnsi="Times New Roman" w:cs="Times New Roman"/>
          <w:sz w:val="24"/>
          <w:szCs w:val="24"/>
        </w:rPr>
        <w:t xml:space="preserve">. and William, J.H. (2005). </w:t>
      </w:r>
      <w:proofErr w:type="gramStart"/>
      <w:r w:rsidRPr="00472D19">
        <w:rPr>
          <w:rFonts w:ascii="Times New Roman" w:eastAsia="Calibri" w:hAnsi="Times New Roman" w:cs="Times New Roman"/>
          <w:sz w:val="24"/>
          <w:szCs w:val="24"/>
        </w:rPr>
        <w:t>SPSS Categories 14.0.</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 xml:space="preserve">Available at </w:t>
      </w:r>
      <w:hyperlink r:id="rId10" w:history="1">
        <w:r w:rsidRPr="00472D19">
          <w:rPr>
            <w:rFonts w:ascii="Times New Roman" w:eastAsia="Calibri" w:hAnsi="Times New Roman" w:cs="Times New Roman"/>
            <w:color w:val="0000FF" w:themeColor="hyperlink"/>
            <w:sz w:val="24"/>
            <w:szCs w:val="24"/>
            <w:u w:val="single"/>
          </w:rPr>
          <w:t>www.spss.com</w:t>
        </w:r>
      </w:hyperlink>
      <w:r w:rsidRPr="00472D19">
        <w:rPr>
          <w:rFonts w:ascii="Times New Roman" w:eastAsia="Calibri" w:hAnsi="Times New Roman" w:cs="Times New Roman"/>
          <w:sz w:val="24"/>
          <w:szCs w:val="24"/>
        </w:rPr>
        <w:t xml:space="preserve"> and assessed on 1</w:t>
      </w:r>
      <w:r w:rsidRPr="00472D19">
        <w:rPr>
          <w:rFonts w:ascii="Times New Roman" w:eastAsia="Calibri" w:hAnsi="Times New Roman" w:cs="Times New Roman"/>
          <w:sz w:val="24"/>
          <w:szCs w:val="24"/>
          <w:vertAlign w:val="superscript"/>
        </w:rPr>
        <w:t>st</w:t>
      </w:r>
      <w:r w:rsidRPr="00472D19">
        <w:rPr>
          <w:rFonts w:ascii="Times New Roman" w:eastAsia="Calibri" w:hAnsi="Times New Roman" w:cs="Times New Roman"/>
          <w:sz w:val="24"/>
          <w:szCs w:val="24"/>
        </w:rPr>
        <w:t xml:space="preserve"> January, 2017.</w:t>
      </w:r>
      <w:proofErr w:type="gramEnd"/>
    </w:p>
    <w:p w:rsidR="00472D19" w:rsidRPr="00472D19" w:rsidRDefault="00472D19" w:rsidP="00472D19">
      <w:pPr>
        <w:spacing w:line="240" w:lineRule="auto"/>
        <w:ind w:left="567" w:hanging="567"/>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Kieti</w:t>
      </w:r>
      <w:proofErr w:type="spellEnd"/>
      <w:r w:rsidRPr="00472D19">
        <w:rPr>
          <w:rFonts w:ascii="Times New Roman" w:eastAsia="Calibri" w:hAnsi="Times New Roman" w:cs="Times New Roman"/>
          <w:sz w:val="24"/>
          <w:szCs w:val="24"/>
        </w:rPr>
        <w:t xml:space="preserve">, R.M. and </w:t>
      </w:r>
      <w:proofErr w:type="spellStart"/>
      <w:r w:rsidRPr="00472D19">
        <w:rPr>
          <w:rFonts w:ascii="Times New Roman" w:eastAsia="Calibri" w:hAnsi="Times New Roman" w:cs="Times New Roman"/>
          <w:sz w:val="24"/>
          <w:szCs w:val="24"/>
        </w:rPr>
        <w:t>Ogolla</w:t>
      </w:r>
      <w:proofErr w:type="spellEnd"/>
      <w:r w:rsidRPr="00472D19">
        <w:rPr>
          <w:rFonts w:ascii="Times New Roman" w:eastAsia="Calibri" w:hAnsi="Times New Roman" w:cs="Times New Roman"/>
          <w:sz w:val="24"/>
          <w:szCs w:val="24"/>
        </w:rPr>
        <w:t>, W. (2020).</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Hedonic valuation of apartments in Kenya.</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i/>
          <w:sz w:val="24"/>
          <w:szCs w:val="24"/>
        </w:rPr>
        <w:t>Property Management.</w:t>
      </w:r>
      <w:proofErr w:type="gramEnd"/>
      <w:r w:rsidRPr="00472D19">
        <w:rPr>
          <w:rFonts w:ascii="Times New Roman" w:eastAsia="Calibri" w:hAnsi="Times New Roman" w:cs="Times New Roman"/>
          <w:sz w:val="24"/>
          <w:szCs w:val="24"/>
        </w:rPr>
        <w:t xml:space="preserve"> Emerald Publishing Limited. </w:t>
      </w:r>
      <w:proofErr w:type="spellStart"/>
      <w:proofErr w:type="gramStart"/>
      <w:r w:rsidRPr="00472D19">
        <w:rPr>
          <w:rFonts w:ascii="Times New Roman" w:eastAsia="Calibri" w:hAnsi="Times New Roman" w:cs="Times New Roman"/>
          <w:sz w:val="24"/>
          <w:szCs w:val="24"/>
        </w:rPr>
        <w:t>doi</w:t>
      </w:r>
      <w:proofErr w:type="spellEnd"/>
      <w:proofErr w:type="gramEnd"/>
      <w:r w:rsidRPr="00472D19">
        <w:rPr>
          <w:rFonts w:ascii="Times New Roman" w:eastAsia="Calibri" w:hAnsi="Times New Roman" w:cs="Times New Roman"/>
          <w:sz w:val="24"/>
          <w:szCs w:val="24"/>
        </w:rPr>
        <w:t>: 10.1108/PM-04-2020-0022.</w:t>
      </w:r>
    </w:p>
    <w:p w:rsidR="00472D19" w:rsidRPr="00472D19" w:rsidRDefault="00472D19" w:rsidP="00472D19">
      <w:pPr>
        <w:spacing w:line="240" w:lineRule="auto"/>
        <w:ind w:left="720" w:right="95" w:hanging="720"/>
        <w:jc w:val="both"/>
        <w:rPr>
          <w:rFonts w:ascii="Times New Roman" w:eastAsia="Calibri" w:hAnsi="Times New Roman" w:cs="Times New Roman"/>
          <w:sz w:val="24"/>
          <w:szCs w:val="24"/>
          <w:lang w:val="en-US"/>
        </w:rPr>
      </w:pPr>
      <w:proofErr w:type="spellStart"/>
      <w:proofErr w:type="gramStart"/>
      <w:r w:rsidRPr="00472D19">
        <w:rPr>
          <w:rFonts w:ascii="Times New Roman" w:eastAsia="Calibri" w:hAnsi="Times New Roman" w:cs="Times New Roman"/>
          <w:sz w:val="24"/>
          <w:szCs w:val="24"/>
          <w:lang w:val="en-US"/>
        </w:rPr>
        <w:t>LeBreton</w:t>
      </w:r>
      <w:proofErr w:type="spellEnd"/>
      <w:r w:rsidRPr="00472D19">
        <w:rPr>
          <w:rFonts w:ascii="Times New Roman" w:eastAsia="Calibri" w:hAnsi="Times New Roman" w:cs="Times New Roman"/>
          <w:sz w:val="24"/>
          <w:szCs w:val="24"/>
          <w:lang w:val="en-US"/>
        </w:rPr>
        <w:t xml:space="preserve">, J. M., </w:t>
      </w:r>
      <w:proofErr w:type="spellStart"/>
      <w:r w:rsidRPr="00472D19">
        <w:rPr>
          <w:rFonts w:ascii="Times New Roman" w:eastAsia="Calibri" w:hAnsi="Times New Roman" w:cs="Times New Roman"/>
          <w:sz w:val="24"/>
          <w:szCs w:val="24"/>
          <w:lang w:val="en-US"/>
        </w:rPr>
        <w:t>Ployhart</w:t>
      </w:r>
      <w:proofErr w:type="spellEnd"/>
      <w:r w:rsidRPr="00472D19">
        <w:rPr>
          <w:rFonts w:ascii="Times New Roman" w:eastAsia="Calibri" w:hAnsi="Times New Roman" w:cs="Times New Roman"/>
          <w:sz w:val="24"/>
          <w:szCs w:val="24"/>
          <w:lang w:val="en-US"/>
        </w:rPr>
        <w:t>, R. E., &amp; Ladd, R. T. (2004).</w:t>
      </w:r>
      <w:proofErr w:type="gramEnd"/>
      <w:r w:rsidRPr="00472D19">
        <w:rPr>
          <w:rFonts w:ascii="Times New Roman" w:eastAsia="Calibri" w:hAnsi="Times New Roman" w:cs="Times New Roman"/>
          <w:sz w:val="24"/>
          <w:szCs w:val="24"/>
          <w:lang w:val="en-US"/>
        </w:rPr>
        <w:t xml:space="preserve">  </w:t>
      </w:r>
      <w:proofErr w:type="gramStart"/>
      <w:r w:rsidRPr="00472D19">
        <w:rPr>
          <w:rFonts w:ascii="Times New Roman" w:eastAsia="Calibri" w:hAnsi="Times New Roman" w:cs="Times New Roman"/>
          <w:sz w:val="24"/>
          <w:szCs w:val="24"/>
          <w:lang w:val="en-US"/>
        </w:rPr>
        <w:t>A Monte Carlo comparison of relative importance methodologies.</w:t>
      </w:r>
      <w:proofErr w:type="gramEnd"/>
      <w:r w:rsidRPr="00472D19">
        <w:rPr>
          <w:rFonts w:ascii="Times New Roman" w:eastAsia="Calibri" w:hAnsi="Times New Roman" w:cs="Times New Roman"/>
          <w:sz w:val="24"/>
          <w:szCs w:val="24"/>
          <w:lang w:val="en-US"/>
        </w:rPr>
        <w:t xml:space="preserve">  Organizational Research Methods, 7(3), 258-282. </w:t>
      </w:r>
      <w:proofErr w:type="spellStart"/>
      <w:proofErr w:type="gramStart"/>
      <w:r w:rsidRPr="00472D19">
        <w:rPr>
          <w:rFonts w:ascii="Times New Roman" w:eastAsia="Calibri" w:hAnsi="Times New Roman" w:cs="Times New Roman"/>
          <w:sz w:val="24"/>
          <w:szCs w:val="24"/>
          <w:lang w:val="en-US"/>
        </w:rPr>
        <w:t>doi</w:t>
      </w:r>
      <w:proofErr w:type="spellEnd"/>
      <w:proofErr w:type="gramEnd"/>
      <w:r w:rsidRPr="00472D19">
        <w:rPr>
          <w:rFonts w:ascii="Times New Roman" w:eastAsia="Calibri" w:hAnsi="Times New Roman" w:cs="Times New Roman"/>
          <w:sz w:val="24"/>
          <w:szCs w:val="24"/>
          <w:lang w:val="en-US"/>
        </w:rPr>
        <w:t>: 10.1177/1094428104266017</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Meulman</w:t>
      </w:r>
      <w:proofErr w:type="spellEnd"/>
      <w:r w:rsidRPr="00472D19">
        <w:rPr>
          <w:rFonts w:ascii="Times New Roman" w:eastAsia="Calibri" w:hAnsi="Times New Roman" w:cs="Times New Roman"/>
          <w:sz w:val="24"/>
          <w:szCs w:val="24"/>
        </w:rPr>
        <w:t xml:space="preserve">, J.J. (1998). </w:t>
      </w:r>
      <w:proofErr w:type="gramStart"/>
      <w:r w:rsidRPr="00472D19">
        <w:rPr>
          <w:rFonts w:ascii="Times New Roman" w:eastAsia="Calibri" w:hAnsi="Times New Roman" w:cs="Times New Roman"/>
          <w:sz w:val="24"/>
          <w:szCs w:val="24"/>
        </w:rPr>
        <w:t>Optimal Scaling Methods for Multivariate Categorical Data Analysis.</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SPSS White Paper.</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 xml:space="preserve">Available at </w:t>
      </w:r>
      <w:hyperlink r:id="rId11" w:history="1">
        <w:r w:rsidRPr="00472D19">
          <w:rPr>
            <w:rFonts w:ascii="Times New Roman" w:eastAsia="Calibri" w:hAnsi="Times New Roman" w:cs="Times New Roman"/>
            <w:color w:val="0000FF" w:themeColor="hyperlink"/>
            <w:sz w:val="24"/>
            <w:szCs w:val="24"/>
            <w:u w:val="single"/>
          </w:rPr>
          <w:t>www.citeseerx.ist.psu.edu</w:t>
        </w:r>
      </w:hyperlink>
      <w:r w:rsidRPr="00472D19">
        <w:rPr>
          <w:rFonts w:ascii="Times New Roman" w:eastAsia="Calibri" w:hAnsi="Times New Roman" w:cs="Times New Roman"/>
          <w:sz w:val="24"/>
          <w:szCs w:val="24"/>
        </w:rPr>
        <w:t>, and accessed on 17</w:t>
      </w:r>
      <w:r w:rsidRPr="00472D19">
        <w:rPr>
          <w:rFonts w:ascii="Times New Roman" w:eastAsia="Calibri" w:hAnsi="Times New Roman" w:cs="Times New Roman"/>
          <w:sz w:val="24"/>
          <w:szCs w:val="24"/>
          <w:vertAlign w:val="superscript"/>
        </w:rPr>
        <w:t>th</w:t>
      </w:r>
      <w:r w:rsidRPr="00472D19">
        <w:rPr>
          <w:rFonts w:ascii="Times New Roman" w:eastAsia="Calibri" w:hAnsi="Times New Roman" w:cs="Times New Roman"/>
          <w:sz w:val="24"/>
          <w:szCs w:val="24"/>
        </w:rPr>
        <w:t xml:space="preserve"> April, 2017.</w:t>
      </w:r>
      <w:proofErr w:type="gramEnd"/>
      <w:r w:rsidRPr="00472D19">
        <w:rPr>
          <w:rFonts w:ascii="Times New Roman" w:eastAsia="Calibri" w:hAnsi="Times New Roman" w:cs="Times New Roman"/>
          <w:sz w:val="24"/>
          <w:szCs w:val="24"/>
        </w:rPr>
        <w:t xml:space="preserve">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lastRenderedPageBreak/>
        <w:t>Meulman</w:t>
      </w:r>
      <w:proofErr w:type="spellEnd"/>
      <w:r w:rsidRPr="00472D19">
        <w:rPr>
          <w:rFonts w:ascii="Times New Roman" w:eastAsia="Calibri" w:hAnsi="Times New Roman" w:cs="Times New Roman"/>
          <w:sz w:val="24"/>
          <w:szCs w:val="24"/>
        </w:rPr>
        <w:t xml:space="preserve">, J.J. and </w:t>
      </w:r>
      <w:proofErr w:type="spellStart"/>
      <w:r w:rsidRPr="00472D19">
        <w:rPr>
          <w:rFonts w:ascii="Times New Roman" w:eastAsia="Calibri" w:hAnsi="Times New Roman" w:cs="Times New Roman"/>
          <w:sz w:val="24"/>
          <w:szCs w:val="24"/>
        </w:rPr>
        <w:t>Heiser</w:t>
      </w:r>
      <w:proofErr w:type="spellEnd"/>
      <w:r w:rsidRPr="00472D19">
        <w:rPr>
          <w:rFonts w:ascii="Times New Roman" w:eastAsia="Calibri" w:hAnsi="Times New Roman" w:cs="Times New Roman"/>
          <w:sz w:val="24"/>
          <w:szCs w:val="24"/>
        </w:rPr>
        <w:t>, W.J. (2012).</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SPSS Categories 21.</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University of Sussex.</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 xml:space="preserve">Available at </w:t>
      </w:r>
      <w:hyperlink r:id="rId12" w:history="1">
        <w:r w:rsidRPr="00472D19">
          <w:rPr>
            <w:rFonts w:ascii="Times New Roman" w:eastAsia="Calibri" w:hAnsi="Times New Roman" w:cs="Times New Roman"/>
            <w:color w:val="0000FF" w:themeColor="hyperlink"/>
            <w:sz w:val="24"/>
            <w:szCs w:val="24"/>
            <w:u w:val="single"/>
          </w:rPr>
          <w:t>www.sussex.ac.uk//</w:t>
        </w:r>
      </w:hyperlink>
      <w:r w:rsidRPr="00472D19">
        <w:rPr>
          <w:rFonts w:ascii="Times New Roman" w:eastAsia="Calibri" w:hAnsi="Times New Roman" w:cs="Times New Roman"/>
          <w:sz w:val="24"/>
          <w:szCs w:val="24"/>
        </w:rPr>
        <w:t>, and accessed on 15</w:t>
      </w:r>
      <w:r w:rsidRPr="00472D19">
        <w:rPr>
          <w:rFonts w:ascii="Times New Roman" w:eastAsia="Calibri" w:hAnsi="Times New Roman" w:cs="Times New Roman"/>
          <w:sz w:val="24"/>
          <w:szCs w:val="24"/>
          <w:vertAlign w:val="superscript"/>
        </w:rPr>
        <w:t>th</w:t>
      </w:r>
      <w:r w:rsidRPr="00472D19">
        <w:rPr>
          <w:rFonts w:ascii="Times New Roman" w:eastAsia="Calibri" w:hAnsi="Times New Roman" w:cs="Times New Roman"/>
          <w:sz w:val="24"/>
          <w:szCs w:val="24"/>
        </w:rPr>
        <w:t xml:space="preserve"> April, 2017.</w:t>
      </w:r>
      <w:proofErr w:type="gramEnd"/>
    </w:p>
    <w:p w:rsidR="00472D19" w:rsidRPr="00472D19" w:rsidRDefault="00472D19" w:rsidP="00472D19">
      <w:pPr>
        <w:widowControl w:val="0"/>
        <w:spacing w:after="0" w:line="240" w:lineRule="auto"/>
        <w:ind w:left="567" w:right="95" w:hanging="567"/>
        <w:jc w:val="both"/>
        <w:rPr>
          <w:rFonts w:ascii="Times New Roman" w:eastAsia="SimSun" w:hAnsi="Times New Roman" w:cs="Times New Roman"/>
          <w:sz w:val="24"/>
          <w:szCs w:val="24"/>
          <w:lang w:val="en-US"/>
        </w:rPr>
      </w:pPr>
      <w:r w:rsidRPr="00472D19">
        <w:rPr>
          <w:rFonts w:ascii="Times New Roman" w:eastAsia="SimSun" w:hAnsi="Times New Roman" w:cs="Times New Roman"/>
          <w:sz w:val="24"/>
          <w:szCs w:val="24"/>
          <w:lang w:val="en-US"/>
        </w:rPr>
        <w:t xml:space="preserve">Moss, S. (2016). </w:t>
      </w:r>
      <w:proofErr w:type="gramStart"/>
      <w:r w:rsidRPr="00472D19">
        <w:rPr>
          <w:rFonts w:ascii="Times New Roman" w:eastAsia="SimSun" w:hAnsi="Times New Roman" w:cs="Times New Roman"/>
          <w:sz w:val="24"/>
          <w:szCs w:val="24"/>
          <w:lang w:val="en-US"/>
        </w:rPr>
        <w:t>Categorical regression analysis.</w:t>
      </w:r>
      <w:proofErr w:type="gramEnd"/>
      <w:r w:rsidRPr="00472D19">
        <w:rPr>
          <w:rFonts w:ascii="Times New Roman" w:eastAsia="SimSun" w:hAnsi="Times New Roman" w:cs="Times New Roman"/>
          <w:sz w:val="24"/>
          <w:szCs w:val="24"/>
          <w:lang w:val="en-US"/>
        </w:rPr>
        <w:t xml:space="preserve"> </w:t>
      </w:r>
      <w:proofErr w:type="gramStart"/>
      <w:r w:rsidRPr="00472D19">
        <w:rPr>
          <w:rFonts w:ascii="Times New Roman" w:eastAsia="SimSun" w:hAnsi="Times New Roman" w:cs="Times New Roman"/>
          <w:sz w:val="24"/>
          <w:szCs w:val="24"/>
          <w:lang w:val="en-US"/>
        </w:rPr>
        <w:t xml:space="preserve">Available at </w:t>
      </w:r>
      <w:hyperlink r:id="rId13" w:history="1">
        <w:r w:rsidRPr="00472D19">
          <w:rPr>
            <w:rFonts w:ascii="Times New Roman" w:eastAsia="SimSun" w:hAnsi="Times New Roman" w:cs="Times New Roman"/>
            <w:color w:val="0000FF" w:themeColor="hyperlink"/>
            <w:sz w:val="24"/>
            <w:szCs w:val="24"/>
            <w:u w:val="single"/>
            <w:lang w:val="en-US"/>
          </w:rPr>
          <w:t>www.sicotests.com/psyarticle.asp?id=160</w:t>
        </w:r>
      </w:hyperlink>
      <w:r w:rsidRPr="00472D19">
        <w:rPr>
          <w:rFonts w:ascii="Times New Roman" w:eastAsia="SimSun" w:hAnsi="Times New Roman" w:cs="Times New Roman"/>
          <w:sz w:val="24"/>
          <w:szCs w:val="24"/>
          <w:lang w:val="en-US"/>
        </w:rPr>
        <w:t>, and assessed on 19</w:t>
      </w:r>
      <w:r w:rsidRPr="00472D19">
        <w:rPr>
          <w:rFonts w:ascii="Times New Roman" w:eastAsia="SimSun" w:hAnsi="Times New Roman" w:cs="Times New Roman"/>
          <w:sz w:val="24"/>
          <w:szCs w:val="24"/>
          <w:vertAlign w:val="superscript"/>
          <w:lang w:val="en-US"/>
        </w:rPr>
        <w:t>th</w:t>
      </w:r>
      <w:r w:rsidRPr="00472D19">
        <w:rPr>
          <w:rFonts w:ascii="Times New Roman" w:eastAsia="SimSun" w:hAnsi="Times New Roman" w:cs="Times New Roman"/>
          <w:sz w:val="24"/>
          <w:szCs w:val="24"/>
          <w:lang w:val="en-US"/>
        </w:rPr>
        <w:t xml:space="preserve"> October 2016.</w:t>
      </w:r>
      <w:proofErr w:type="gramEnd"/>
      <w:r w:rsidRPr="00472D19">
        <w:rPr>
          <w:rFonts w:ascii="Times New Roman" w:eastAsia="SimSun" w:hAnsi="Times New Roman" w:cs="Times New Roman"/>
          <w:sz w:val="24"/>
          <w:szCs w:val="24"/>
          <w:lang w:val="en-US"/>
        </w:rPr>
        <w:t xml:space="preserve">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gramStart"/>
      <w:r w:rsidRPr="00472D19">
        <w:rPr>
          <w:rFonts w:ascii="Times New Roman" w:eastAsia="Calibri" w:hAnsi="Times New Roman" w:cs="Times New Roman"/>
          <w:sz w:val="24"/>
          <w:szCs w:val="24"/>
        </w:rPr>
        <w:t xml:space="preserve">Nathans, L. L., Oswald, F. L. and </w:t>
      </w:r>
      <w:proofErr w:type="spellStart"/>
      <w:r w:rsidRPr="00472D19">
        <w:rPr>
          <w:rFonts w:ascii="Times New Roman" w:eastAsia="Calibri" w:hAnsi="Times New Roman" w:cs="Times New Roman"/>
          <w:sz w:val="24"/>
          <w:szCs w:val="24"/>
        </w:rPr>
        <w:t>Nimon</w:t>
      </w:r>
      <w:proofErr w:type="spellEnd"/>
      <w:r w:rsidRPr="00472D19">
        <w:rPr>
          <w:rFonts w:ascii="Times New Roman" w:eastAsia="Calibri" w:hAnsi="Times New Roman" w:cs="Times New Roman"/>
          <w:sz w:val="24"/>
          <w:szCs w:val="24"/>
        </w:rPr>
        <w:t>, K. (2012).</w:t>
      </w:r>
      <w:proofErr w:type="gramEnd"/>
      <w:r w:rsidRPr="00472D19">
        <w:rPr>
          <w:rFonts w:ascii="Times New Roman" w:eastAsia="Calibri" w:hAnsi="Times New Roman" w:cs="Times New Roman"/>
          <w:sz w:val="24"/>
          <w:szCs w:val="24"/>
        </w:rPr>
        <w:t xml:space="preserve"> Interpreting Multiple Linear </w:t>
      </w:r>
      <w:proofErr w:type="gramStart"/>
      <w:r w:rsidRPr="00472D19">
        <w:rPr>
          <w:rFonts w:ascii="Times New Roman" w:eastAsia="Calibri" w:hAnsi="Times New Roman" w:cs="Times New Roman"/>
          <w:sz w:val="24"/>
          <w:szCs w:val="24"/>
        </w:rPr>
        <w:t>Regression</w:t>
      </w:r>
      <w:proofErr w:type="gramEnd"/>
      <w:r w:rsidRPr="00472D19">
        <w:rPr>
          <w:rFonts w:ascii="Times New Roman" w:eastAsia="Calibri" w:hAnsi="Times New Roman" w:cs="Times New Roman"/>
          <w:sz w:val="24"/>
          <w:szCs w:val="24"/>
        </w:rPr>
        <w:t xml:space="preserve">: A guide book of variable importance. </w:t>
      </w:r>
      <w:proofErr w:type="gramStart"/>
      <w:r w:rsidRPr="00472D19">
        <w:rPr>
          <w:rFonts w:ascii="Times New Roman" w:eastAsia="Calibri" w:hAnsi="Times New Roman" w:cs="Times New Roman"/>
          <w:i/>
          <w:sz w:val="24"/>
          <w:szCs w:val="24"/>
        </w:rPr>
        <w:t>Practical Assessment, Research and Evaluation</w:t>
      </w:r>
      <w:r w:rsidRPr="00472D19">
        <w:rPr>
          <w:rFonts w:ascii="Times New Roman" w:eastAsia="Calibri" w:hAnsi="Times New Roman" w:cs="Times New Roman"/>
          <w:sz w:val="24"/>
          <w:szCs w:val="24"/>
        </w:rPr>
        <w:t>.</w:t>
      </w:r>
      <w:proofErr w:type="gramEnd"/>
      <w:r w:rsidRPr="00472D19">
        <w:rPr>
          <w:rFonts w:ascii="Times New Roman" w:eastAsia="Calibri" w:hAnsi="Times New Roman" w:cs="Times New Roman"/>
          <w:sz w:val="24"/>
          <w:szCs w:val="24"/>
        </w:rPr>
        <w:t xml:space="preserve"> 17 (9), 1 – 19.</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Neelawala</w:t>
      </w:r>
      <w:proofErr w:type="spellEnd"/>
      <w:r w:rsidRPr="00472D19">
        <w:rPr>
          <w:rFonts w:ascii="Times New Roman" w:eastAsia="Calibri" w:hAnsi="Times New Roman" w:cs="Times New Roman"/>
          <w:sz w:val="24"/>
          <w:szCs w:val="24"/>
        </w:rPr>
        <w:t xml:space="preserve">, P. </w:t>
      </w:r>
      <w:proofErr w:type="spellStart"/>
      <w:r w:rsidRPr="00472D19">
        <w:rPr>
          <w:rFonts w:ascii="Times New Roman" w:eastAsia="Calibri" w:hAnsi="Times New Roman" w:cs="Times New Roman"/>
          <w:sz w:val="24"/>
          <w:szCs w:val="24"/>
        </w:rPr>
        <w:t>Clevo</w:t>
      </w:r>
      <w:proofErr w:type="spellEnd"/>
      <w:r w:rsidRPr="00472D19">
        <w:rPr>
          <w:rFonts w:ascii="Times New Roman" w:eastAsia="Calibri" w:hAnsi="Times New Roman" w:cs="Times New Roman"/>
          <w:sz w:val="24"/>
          <w:szCs w:val="24"/>
        </w:rPr>
        <w:t>, W., and Robinson, T. (</w:t>
      </w:r>
      <w:proofErr w:type="spellStart"/>
      <w:r w:rsidRPr="00472D19">
        <w:rPr>
          <w:rFonts w:ascii="Times New Roman" w:eastAsia="Calibri" w:hAnsi="Times New Roman" w:cs="Times New Roman"/>
          <w:sz w:val="24"/>
          <w:szCs w:val="24"/>
        </w:rPr>
        <w:t>nd</w:t>
      </w:r>
      <w:proofErr w:type="spellEnd"/>
      <w:r w:rsidRPr="00472D19">
        <w:rPr>
          <w:rFonts w:ascii="Times New Roman" w:eastAsia="Calibri" w:hAnsi="Times New Roman" w:cs="Times New Roman"/>
          <w:sz w:val="24"/>
          <w:szCs w:val="24"/>
        </w:rPr>
        <w:t>).</w:t>
      </w:r>
      <w:proofErr w:type="gramEnd"/>
      <w:r w:rsidRPr="00472D19">
        <w:rPr>
          <w:rFonts w:ascii="Times New Roman" w:eastAsia="Calibri" w:hAnsi="Times New Roman" w:cs="Times New Roman"/>
          <w:sz w:val="24"/>
          <w:szCs w:val="24"/>
        </w:rPr>
        <w:t xml:space="preserve"> Impacts of Major Roads on Property Values: An Analysis of an existing and a proposed Road Corridor Project. </w:t>
      </w:r>
      <w:proofErr w:type="gramStart"/>
      <w:r w:rsidRPr="00472D19">
        <w:rPr>
          <w:rFonts w:ascii="Times New Roman" w:eastAsia="Calibri" w:hAnsi="Times New Roman" w:cs="Times New Roman"/>
          <w:sz w:val="24"/>
          <w:szCs w:val="24"/>
        </w:rPr>
        <w:t xml:space="preserve">Available at </w:t>
      </w:r>
      <w:hyperlink r:id="rId14" w:history="1">
        <w:r w:rsidRPr="00472D19">
          <w:rPr>
            <w:rFonts w:ascii="Times New Roman" w:eastAsia="Calibri" w:hAnsi="Times New Roman" w:cs="Times New Roman"/>
            <w:color w:val="0000FF" w:themeColor="hyperlink"/>
            <w:sz w:val="24"/>
            <w:szCs w:val="24"/>
            <w:u w:val="single"/>
          </w:rPr>
          <w:t>https://editorialexpress.com/.../download</w:t>
        </w:r>
      </w:hyperlink>
      <w:r w:rsidRPr="00472D19">
        <w:rPr>
          <w:rFonts w:ascii="Times New Roman" w:eastAsia="Calibri" w:hAnsi="Times New Roman" w:cs="Times New Roman"/>
          <w:sz w:val="24"/>
          <w:szCs w:val="24"/>
        </w:rPr>
        <w:t xml:space="preserve"> and assessed on 7th April 2015.</w:t>
      </w:r>
      <w:proofErr w:type="gramEnd"/>
      <w:r w:rsidRPr="00472D19">
        <w:rPr>
          <w:rFonts w:ascii="Times New Roman" w:eastAsia="Calibri" w:hAnsi="Times New Roman" w:cs="Times New Roman"/>
          <w:sz w:val="24"/>
          <w:szCs w:val="24"/>
        </w:rPr>
        <w:t xml:space="preserve">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Sirmans</w:t>
      </w:r>
      <w:proofErr w:type="spellEnd"/>
      <w:r w:rsidRPr="00472D19">
        <w:rPr>
          <w:rFonts w:ascii="Times New Roman" w:eastAsia="Calibri" w:hAnsi="Times New Roman" w:cs="Times New Roman"/>
          <w:sz w:val="24"/>
          <w:szCs w:val="24"/>
        </w:rPr>
        <w:t xml:space="preserve">, G. S., Macpherson, D. A.  </w:t>
      </w:r>
      <w:proofErr w:type="gramStart"/>
      <w:r w:rsidRPr="00472D19">
        <w:rPr>
          <w:rFonts w:ascii="Times New Roman" w:eastAsia="Calibri" w:hAnsi="Times New Roman" w:cs="Times New Roman"/>
          <w:sz w:val="24"/>
          <w:szCs w:val="24"/>
        </w:rPr>
        <w:t>and</w:t>
      </w:r>
      <w:proofErr w:type="gramEnd"/>
      <w:r w:rsidRPr="00472D19">
        <w:rPr>
          <w:rFonts w:ascii="Times New Roman" w:eastAsia="Calibri" w:hAnsi="Times New Roman" w:cs="Times New Roman"/>
          <w:sz w:val="24"/>
          <w:szCs w:val="24"/>
        </w:rPr>
        <w:t xml:space="preserve"> </w:t>
      </w:r>
      <w:proofErr w:type="spellStart"/>
      <w:r w:rsidRPr="00472D19">
        <w:rPr>
          <w:rFonts w:ascii="Times New Roman" w:eastAsia="Calibri" w:hAnsi="Times New Roman" w:cs="Times New Roman"/>
          <w:sz w:val="24"/>
          <w:szCs w:val="24"/>
        </w:rPr>
        <w:t>Zietz</w:t>
      </w:r>
      <w:proofErr w:type="spellEnd"/>
      <w:r w:rsidRPr="00472D19">
        <w:rPr>
          <w:rFonts w:ascii="Times New Roman" w:eastAsia="Calibri" w:hAnsi="Times New Roman" w:cs="Times New Roman"/>
          <w:sz w:val="24"/>
          <w:szCs w:val="24"/>
        </w:rPr>
        <w:t xml:space="preserve">, E. N.   (2005). </w:t>
      </w:r>
      <w:proofErr w:type="gramStart"/>
      <w:r w:rsidRPr="00472D19">
        <w:rPr>
          <w:rFonts w:ascii="Times New Roman" w:eastAsia="Calibri" w:hAnsi="Times New Roman" w:cs="Times New Roman"/>
          <w:sz w:val="24"/>
          <w:szCs w:val="24"/>
        </w:rPr>
        <w:t>The</w:t>
      </w:r>
      <w:proofErr w:type="gramEnd"/>
      <w:r w:rsidRPr="00472D19">
        <w:rPr>
          <w:rFonts w:ascii="Times New Roman" w:eastAsia="Calibri" w:hAnsi="Times New Roman" w:cs="Times New Roman"/>
          <w:sz w:val="24"/>
          <w:szCs w:val="24"/>
        </w:rPr>
        <w:t xml:space="preserve"> Composition of Hedonic Pricing Models. </w:t>
      </w:r>
      <w:r w:rsidRPr="00472D19">
        <w:rPr>
          <w:rFonts w:ascii="Times New Roman" w:eastAsia="Calibri" w:hAnsi="Times New Roman" w:cs="Times New Roman"/>
          <w:i/>
          <w:sz w:val="24"/>
          <w:szCs w:val="24"/>
        </w:rPr>
        <w:t>Journal of Real Estate Literature</w:t>
      </w:r>
      <w:r w:rsidRPr="00472D19">
        <w:rPr>
          <w:rFonts w:ascii="Times New Roman" w:eastAsia="Calibri" w:hAnsi="Times New Roman" w:cs="Times New Roman"/>
          <w:sz w:val="24"/>
          <w:szCs w:val="24"/>
        </w:rPr>
        <w:t xml:space="preserve">, 13(1), 3-43.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r w:rsidRPr="00472D19">
        <w:rPr>
          <w:rFonts w:ascii="Times New Roman" w:eastAsia="Calibri" w:hAnsi="Times New Roman" w:cs="Times New Roman"/>
          <w:sz w:val="24"/>
          <w:szCs w:val="24"/>
        </w:rPr>
        <w:t>Srijan</w:t>
      </w:r>
      <w:proofErr w:type="gramStart"/>
      <w:r w:rsidRPr="00472D19">
        <w:rPr>
          <w:rFonts w:ascii="Times New Roman" w:eastAsia="Calibri" w:hAnsi="Times New Roman" w:cs="Times New Roman"/>
          <w:sz w:val="24"/>
          <w:szCs w:val="24"/>
        </w:rPr>
        <w:t>,L.S</w:t>
      </w:r>
      <w:proofErr w:type="spellEnd"/>
      <w:proofErr w:type="gramEnd"/>
      <w:r w:rsidRPr="00472D19">
        <w:rPr>
          <w:rFonts w:ascii="Times New Roman" w:eastAsia="Calibri" w:hAnsi="Times New Roman" w:cs="Times New Roman"/>
          <w:sz w:val="24"/>
          <w:szCs w:val="24"/>
        </w:rPr>
        <w:t xml:space="preserve">. (2009). Categorical Regression Models with Optimal Scaling for </w:t>
      </w:r>
      <w:proofErr w:type="gramStart"/>
      <w:r w:rsidRPr="00472D19">
        <w:rPr>
          <w:rFonts w:ascii="Times New Roman" w:eastAsia="Calibri" w:hAnsi="Times New Roman" w:cs="Times New Roman"/>
          <w:sz w:val="24"/>
          <w:szCs w:val="24"/>
        </w:rPr>
        <w:t>Predicting</w:t>
      </w:r>
      <w:proofErr w:type="gramEnd"/>
      <w:r w:rsidRPr="00472D19">
        <w:rPr>
          <w:rFonts w:ascii="Times New Roman" w:eastAsia="Calibri" w:hAnsi="Times New Roman" w:cs="Times New Roman"/>
          <w:sz w:val="24"/>
          <w:szCs w:val="24"/>
        </w:rPr>
        <w:t xml:space="preserve"> indoor Air Pollution Concentrations inside Kitchens in Nepalese Households. </w:t>
      </w:r>
      <w:r w:rsidRPr="00472D19">
        <w:rPr>
          <w:rFonts w:ascii="Times New Roman" w:eastAsia="Calibri" w:hAnsi="Times New Roman" w:cs="Times New Roman"/>
          <w:i/>
          <w:sz w:val="24"/>
          <w:szCs w:val="24"/>
        </w:rPr>
        <w:t>Nepal Journal of Science and Technology,</w:t>
      </w:r>
      <w:r w:rsidRPr="00472D19">
        <w:rPr>
          <w:rFonts w:ascii="Times New Roman" w:eastAsia="Calibri" w:hAnsi="Times New Roman" w:cs="Times New Roman"/>
          <w:sz w:val="24"/>
          <w:szCs w:val="24"/>
        </w:rPr>
        <w:t xml:space="preserve"> 10 (2009), 205 – 211. </w:t>
      </w:r>
      <w:r w:rsidRPr="00472D19">
        <w:rPr>
          <w:rFonts w:ascii="Times New Roman" w:eastAsia="Calibri" w:hAnsi="Times New Roman" w:cs="Times New Roman"/>
          <w:i/>
          <w:sz w:val="24"/>
          <w:szCs w:val="24"/>
        </w:rPr>
        <w:t xml:space="preserve"> </w:t>
      </w:r>
      <w:r w:rsidRPr="00472D19">
        <w:rPr>
          <w:rFonts w:ascii="Times New Roman" w:eastAsia="Calibri" w:hAnsi="Times New Roman" w:cs="Times New Roman"/>
          <w:sz w:val="24"/>
          <w:szCs w:val="24"/>
        </w:rPr>
        <w:t xml:space="preserve">  </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Stetler</w:t>
      </w:r>
      <w:proofErr w:type="spellEnd"/>
      <w:r w:rsidRPr="00472D19">
        <w:rPr>
          <w:rFonts w:ascii="Times New Roman" w:eastAsia="Calibri" w:hAnsi="Times New Roman" w:cs="Times New Roman"/>
          <w:sz w:val="24"/>
          <w:szCs w:val="24"/>
        </w:rPr>
        <w:t xml:space="preserve">, K.M., Venn, T.J., and </w:t>
      </w:r>
      <w:proofErr w:type="spellStart"/>
      <w:r w:rsidRPr="00472D19">
        <w:rPr>
          <w:rFonts w:ascii="Times New Roman" w:eastAsia="Calibri" w:hAnsi="Times New Roman" w:cs="Times New Roman"/>
          <w:sz w:val="24"/>
          <w:szCs w:val="24"/>
        </w:rPr>
        <w:t>Calkin</w:t>
      </w:r>
      <w:proofErr w:type="spellEnd"/>
      <w:r w:rsidRPr="00472D19">
        <w:rPr>
          <w:rFonts w:ascii="Times New Roman" w:eastAsia="Calibri" w:hAnsi="Times New Roman" w:cs="Times New Roman"/>
          <w:sz w:val="24"/>
          <w:szCs w:val="24"/>
        </w:rPr>
        <w:t>, D.E. (2010).</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The Effects of Wild Fire and Environmental Amenities on Property values in Northwest Montana, USA.</w:t>
      </w:r>
      <w:proofErr w:type="gramEnd"/>
      <w:r w:rsidRPr="00472D19">
        <w:rPr>
          <w:rFonts w:ascii="Times New Roman" w:eastAsia="Calibri" w:hAnsi="Times New Roman" w:cs="Times New Roman"/>
          <w:sz w:val="24"/>
          <w:szCs w:val="24"/>
        </w:rPr>
        <w:t xml:space="preserve"> </w:t>
      </w:r>
      <w:r w:rsidRPr="00472D19">
        <w:rPr>
          <w:rFonts w:ascii="Times New Roman" w:eastAsia="Calibri" w:hAnsi="Times New Roman" w:cs="Times New Roman"/>
          <w:i/>
          <w:sz w:val="24"/>
          <w:szCs w:val="24"/>
        </w:rPr>
        <w:t>Ecological Economics</w:t>
      </w:r>
      <w:r w:rsidRPr="00472D19">
        <w:rPr>
          <w:rFonts w:ascii="Times New Roman" w:eastAsia="Calibri" w:hAnsi="Times New Roman" w:cs="Times New Roman"/>
          <w:sz w:val="24"/>
          <w:szCs w:val="24"/>
        </w:rPr>
        <w:t>, 69, 2233-2243.</w:t>
      </w:r>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gramStart"/>
      <w:r w:rsidRPr="00472D19">
        <w:rPr>
          <w:rFonts w:ascii="Times New Roman" w:eastAsia="Calibri" w:hAnsi="Times New Roman" w:cs="Times New Roman"/>
          <w:sz w:val="24"/>
          <w:szCs w:val="24"/>
        </w:rPr>
        <w:t xml:space="preserve">Van der </w:t>
      </w:r>
      <w:proofErr w:type="spellStart"/>
      <w:r w:rsidRPr="00472D19">
        <w:rPr>
          <w:rFonts w:ascii="Times New Roman" w:eastAsia="Calibri" w:hAnsi="Times New Roman" w:cs="Times New Roman"/>
          <w:sz w:val="24"/>
          <w:szCs w:val="24"/>
        </w:rPr>
        <w:t>Kooij</w:t>
      </w:r>
      <w:proofErr w:type="spellEnd"/>
      <w:r w:rsidRPr="00472D19">
        <w:rPr>
          <w:rFonts w:ascii="Times New Roman" w:eastAsia="Calibri" w:hAnsi="Times New Roman" w:cs="Times New Roman"/>
          <w:sz w:val="24"/>
          <w:szCs w:val="24"/>
        </w:rPr>
        <w:t xml:space="preserve">, A.J. and </w:t>
      </w:r>
      <w:proofErr w:type="spellStart"/>
      <w:r w:rsidRPr="00472D19">
        <w:rPr>
          <w:rFonts w:ascii="Times New Roman" w:eastAsia="Calibri" w:hAnsi="Times New Roman" w:cs="Times New Roman"/>
          <w:sz w:val="24"/>
          <w:szCs w:val="24"/>
        </w:rPr>
        <w:t>Meulman</w:t>
      </w:r>
      <w:proofErr w:type="spellEnd"/>
      <w:r w:rsidRPr="00472D19">
        <w:rPr>
          <w:rFonts w:ascii="Times New Roman" w:eastAsia="Calibri" w:hAnsi="Times New Roman" w:cs="Times New Roman"/>
          <w:sz w:val="24"/>
          <w:szCs w:val="24"/>
        </w:rPr>
        <w:t>, J.J. (2006).</w:t>
      </w:r>
      <w:proofErr w:type="gramEnd"/>
      <w:r w:rsidRPr="00472D19">
        <w:rPr>
          <w:rFonts w:ascii="Times New Roman" w:eastAsia="Calibri" w:hAnsi="Times New Roman" w:cs="Times New Roman"/>
          <w:sz w:val="24"/>
          <w:szCs w:val="24"/>
        </w:rPr>
        <w:t xml:space="preserve">  Prediction Accuracy of Regression with Optimal Scaling Transformations: The .632 Bootstrap with CATREG. </w:t>
      </w:r>
      <w:proofErr w:type="gramStart"/>
      <w:r w:rsidRPr="00472D19">
        <w:rPr>
          <w:rFonts w:ascii="Times New Roman" w:eastAsia="Calibri" w:hAnsi="Times New Roman" w:cs="Times New Roman"/>
          <w:sz w:val="24"/>
          <w:szCs w:val="24"/>
        </w:rPr>
        <w:t xml:space="preserve">Available at </w:t>
      </w:r>
      <w:hyperlink r:id="rId15" w:history="1">
        <w:r w:rsidRPr="00472D19">
          <w:rPr>
            <w:rFonts w:ascii="Times New Roman" w:eastAsia="Calibri" w:hAnsi="Times New Roman" w:cs="Times New Roman"/>
            <w:color w:val="0000FF" w:themeColor="hyperlink"/>
            <w:sz w:val="24"/>
            <w:szCs w:val="24"/>
            <w:u w:val="single"/>
          </w:rPr>
          <w:t>https://openaccess.leidenuniv.nl/03.pdf</w:t>
        </w:r>
      </w:hyperlink>
      <w:r w:rsidRPr="00472D19">
        <w:rPr>
          <w:rFonts w:ascii="Times New Roman" w:eastAsia="Calibri" w:hAnsi="Times New Roman" w:cs="Times New Roman"/>
          <w:sz w:val="24"/>
          <w:szCs w:val="24"/>
        </w:rPr>
        <w:t>, and accessed on 17</w:t>
      </w:r>
      <w:r w:rsidRPr="00472D19">
        <w:rPr>
          <w:rFonts w:ascii="Times New Roman" w:eastAsia="Calibri" w:hAnsi="Times New Roman" w:cs="Times New Roman"/>
          <w:sz w:val="24"/>
          <w:szCs w:val="24"/>
          <w:vertAlign w:val="superscript"/>
        </w:rPr>
        <w:t>th</w:t>
      </w:r>
      <w:r w:rsidRPr="00472D19">
        <w:rPr>
          <w:rFonts w:ascii="Times New Roman" w:eastAsia="Calibri" w:hAnsi="Times New Roman" w:cs="Times New Roman"/>
          <w:sz w:val="24"/>
          <w:szCs w:val="24"/>
        </w:rPr>
        <w:t xml:space="preserve"> April, 2017.</w:t>
      </w:r>
      <w:proofErr w:type="gramEnd"/>
    </w:p>
    <w:p w:rsidR="00472D19" w:rsidRPr="00472D19" w:rsidRDefault="00472D19" w:rsidP="00472D19">
      <w:pPr>
        <w:spacing w:line="240" w:lineRule="auto"/>
        <w:ind w:left="567" w:right="95" w:hanging="567"/>
        <w:jc w:val="both"/>
        <w:rPr>
          <w:rFonts w:ascii="Times New Roman" w:eastAsia="Calibri" w:hAnsi="Times New Roman" w:cs="Times New Roman"/>
          <w:sz w:val="24"/>
          <w:szCs w:val="24"/>
        </w:rPr>
      </w:pPr>
      <w:proofErr w:type="spellStart"/>
      <w:proofErr w:type="gramStart"/>
      <w:r w:rsidRPr="00472D19">
        <w:rPr>
          <w:rFonts w:ascii="Times New Roman" w:eastAsia="Calibri" w:hAnsi="Times New Roman" w:cs="Times New Roman"/>
          <w:sz w:val="24"/>
          <w:szCs w:val="24"/>
        </w:rPr>
        <w:t>Wilhelmsson</w:t>
      </w:r>
      <w:proofErr w:type="spellEnd"/>
      <w:r w:rsidRPr="00472D19">
        <w:rPr>
          <w:rFonts w:ascii="Times New Roman" w:eastAsia="Calibri" w:hAnsi="Times New Roman" w:cs="Times New Roman"/>
          <w:sz w:val="24"/>
          <w:szCs w:val="24"/>
        </w:rPr>
        <w:t>, M. (2009).</w:t>
      </w:r>
      <w:proofErr w:type="gramEnd"/>
      <w:r w:rsidRPr="00472D19">
        <w:rPr>
          <w:rFonts w:ascii="Times New Roman" w:eastAsia="Calibri" w:hAnsi="Times New Roman" w:cs="Times New Roman"/>
          <w:sz w:val="24"/>
          <w:szCs w:val="24"/>
        </w:rPr>
        <w:t xml:space="preserve"> </w:t>
      </w:r>
      <w:proofErr w:type="gramStart"/>
      <w:r w:rsidRPr="00472D19">
        <w:rPr>
          <w:rFonts w:ascii="Times New Roman" w:eastAsia="Calibri" w:hAnsi="Times New Roman" w:cs="Times New Roman"/>
          <w:sz w:val="24"/>
          <w:szCs w:val="24"/>
        </w:rPr>
        <w:t>The Impact of Traffic Noise on the Values of Single-family Houses.</w:t>
      </w:r>
      <w:proofErr w:type="gramEnd"/>
      <w:r w:rsidRPr="00472D19">
        <w:rPr>
          <w:rFonts w:ascii="Times New Roman" w:eastAsia="Calibri" w:hAnsi="Times New Roman" w:cs="Times New Roman"/>
          <w:sz w:val="24"/>
          <w:szCs w:val="24"/>
        </w:rPr>
        <w:t xml:space="preserve"> </w:t>
      </w:r>
      <w:r w:rsidRPr="00472D19">
        <w:rPr>
          <w:rFonts w:ascii="Times New Roman" w:eastAsia="Calibri" w:hAnsi="Times New Roman" w:cs="Times New Roman"/>
          <w:i/>
          <w:sz w:val="24"/>
          <w:szCs w:val="24"/>
        </w:rPr>
        <w:t>Journal of Environmental Planning and Management</w:t>
      </w:r>
      <w:r w:rsidRPr="00472D19">
        <w:rPr>
          <w:rFonts w:ascii="Times New Roman" w:eastAsia="Calibri" w:hAnsi="Times New Roman" w:cs="Times New Roman"/>
          <w:sz w:val="24"/>
          <w:szCs w:val="24"/>
        </w:rPr>
        <w:t>, 43(6), 799–815.</w:t>
      </w:r>
    </w:p>
    <w:p w:rsidR="0033230F" w:rsidRDefault="0033230F" w:rsidP="00472D19">
      <w:pPr>
        <w:spacing w:line="240" w:lineRule="auto"/>
      </w:pPr>
    </w:p>
    <w:sectPr w:rsidR="0033230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25" w:rsidRDefault="00930225" w:rsidP="002C7F04">
      <w:pPr>
        <w:spacing w:after="0" w:line="240" w:lineRule="auto"/>
      </w:pPr>
      <w:r>
        <w:separator/>
      </w:r>
    </w:p>
  </w:endnote>
  <w:endnote w:type="continuationSeparator" w:id="0">
    <w:p w:rsidR="00930225" w:rsidRDefault="00930225" w:rsidP="002C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07899"/>
      <w:docPartObj>
        <w:docPartGallery w:val="Page Numbers (Bottom of Page)"/>
        <w:docPartUnique/>
      </w:docPartObj>
    </w:sdtPr>
    <w:sdtEndPr>
      <w:rPr>
        <w:noProof/>
      </w:rPr>
    </w:sdtEndPr>
    <w:sdtContent>
      <w:p w:rsidR="00554AFB" w:rsidRDefault="00554AFB">
        <w:pPr>
          <w:pStyle w:val="Footer"/>
          <w:jc w:val="center"/>
        </w:pPr>
        <w:r>
          <w:fldChar w:fldCharType="begin"/>
        </w:r>
        <w:r>
          <w:instrText xml:space="preserve"> PAGE   \* MERGEFORMAT </w:instrText>
        </w:r>
        <w:r>
          <w:fldChar w:fldCharType="separate"/>
        </w:r>
        <w:r w:rsidR="0024026C">
          <w:rPr>
            <w:noProof/>
          </w:rPr>
          <w:t>1</w:t>
        </w:r>
        <w:r>
          <w:rPr>
            <w:noProof/>
          </w:rPr>
          <w:fldChar w:fldCharType="end"/>
        </w:r>
      </w:p>
    </w:sdtContent>
  </w:sdt>
  <w:p w:rsidR="00554AFB" w:rsidRDefault="00554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25" w:rsidRDefault="00930225" w:rsidP="002C7F04">
      <w:pPr>
        <w:spacing w:after="0" w:line="240" w:lineRule="auto"/>
      </w:pPr>
      <w:r>
        <w:separator/>
      </w:r>
    </w:p>
  </w:footnote>
  <w:footnote w:type="continuationSeparator" w:id="0">
    <w:p w:rsidR="00930225" w:rsidRDefault="00930225" w:rsidP="002C7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44"/>
    <w:rsid w:val="00077613"/>
    <w:rsid w:val="001B14F8"/>
    <w:rsid w:val="0024026C"/>
    <w:rsid w:val="00272CBD"/>
    <w:rsid w:val="002C7F04"/>
    <w:rsid w:val="0033230F"/>
    <w:rsid w:val="003B3744"/>
    <w:rsid w:val="00472D19"/>
    <w:rsid w:val="00493C81"/>
    <w:rsid w:val="004E13F2"/>
    <w:rsid w:val="00554AFB"/>
    <w:rsid w:val="00712193"/>
    <w:rsid w:val="007B2DBD"/>
    <w:rsid w:val="007B4756"/>
    <w:rsid w:val="007C4B2B"/>
    <w:rsid w:val="007D374C"/>
    <w:rsid w:val="00820DC1"/>
    <w:rsid w:val="00856E6B"/>
    <w:rsid w:val="008A4F62"/>
    <w:rsid w:val="00904019"/>
    <w:rsid w:val="00930225"/>
    <w:rsid w:val="009748A1"/>
    <w:rsid w:val="009D4F78"/>
    <w:rsid w:val="00A157E6"/>
    <w:rsid w:val="00A4735F"/>
    <w:rsid w:val="00A9537D"/>
    <w:rsid w:val="00B13314"/>
    <w:rsid w:val="00B14F67"/>
    <w:rsid w:val="00BA7794"/>
    <w:rsid w:val="00C1172C"/>
    <w:rsid w:val="00F573C8"/>
    <w:rsid w:val="00FA44E6"/>
    <w:rsid w:val="00FE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30F"/>
    <w:pPr>
      <w:spacing w:after="0" w:line="240" w:lineRule="auto"/>
    </w:pPr>
  </w:style>
  <w:style w:type="paragraph" w:styleId="Header">
    <w:name w:val="header"/>
    <w:basedOn w:val="Normal"/>
    <w:link w:val="HeaderChar"/>
    <w:uiPriority w:val="99"/>
    <w:unhideWhenUsed/>
    <w:rsid w:val="002C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04"/>
  </w:style>
  <w:style w:type="paragraph" w:styleId="Footer">
    <w:name w:val="footer"/>
    <w:basedOn w:val="Normal"/>
    <w:link w:val="FooterChar"/>
    <w:uiPriority w:val="99"/>
    <w:unhideWhenUsed/>
    <w:rsid w:val="002C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04"/>
  </w:style>
  <w:style w:type="paragraph" w:styleId="BalloonText">
    <w:name w:val="Balloon Text"/>
    <w:basedOn w:val="Normal"/>
    <w:link w:val="BalloonTextChar"/>
    <w:uiPriority w:val="99"/>
    <w:semiHidden/>
    <w:unhideWhenUsed/>
    <w:rsid w:val="001B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30F"/>
    <w:pPr>
      <w:spacing w:after="0" w:line="240" w:lineRule="auto"/>
    </w:pPr>
  </w:style>
  <w:style w:type="paragraph" w:styleId="Header">
    <w:name w:val="header"/>
    <w:basedOn w:val="Normal"/>
    <w:link w:val="HeaderChar"/>
    <w:uiPriority w:val="99"/>
    <w:unhideWhenUsed/>
    <w:rsid w:val="002C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04"/>
  </w:style>
  <w:style w:type="paragraph" w:styleId="Footer">
    <w:name w:val="footer"/>
    <w:basedOn w:val="Normal"/>
    <w:link w:val="FooterChar"/>
    <w:uiPriority w:val="99"/>
    <w:unhideWhenUsed/>
    <w:rsid w:val="002C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04"/>
  </w:style>
  <w:style w:type="paragraph" w:styleId="BalloonText">
    <w:name w:val="Balloon Text"/>
    <w:basedOn w:val="Normal"/>
    <w:link w:val="BalloonTextChar"/>
    <w:uiPriority w:val="99"/>
    <w:semiHidden/>
    <w:unhideWhenUsed/>
    <w:rsid w:val="001B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sicotests.com/psyarticle.asp?id=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sussex.ac.u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iteseerx.ist.psu.edu" TargetMode="External"/><Relationship Id="rId5" Type="http://schemas.openxmlformats.org/officeDocument/2006/relationships/footnotes" Target="footnotes.xml"/><Relationship Id="rId15" Type="http://schemas.openxmlformats.org/officeDocument/2006/relationships/hyperlink" Target="https://openaccess.leidenuniv.nl/03.pdf" TargetMode="External"/><Relationship Id="rId10" Type="http://schemas.openxmlformats.org/officeDocument/2006/relationships/hyperlink" Target="http://www.spss.com" TargetMode="External"/><Relationship Id="rId4" Type="http://schemas.openxmlformats.org/officeDocument/2006/relationships/webSettings" Target="webSettings.xml"/><Relationship Id="rId9" Type="http://schemas.openxmlformats.org/officeDocument/2006/relationships/hyperlink" Target="http://www.abstracts.eatransport.org/paper/.../id/3604" TargetMode="External"/><Relationship Id="rId14" Type="http://schemas.openxmlformats.org/officeDocument/2006/relationships/hyperlink" Target="https://editorialexpress.com/.../downloa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'Actual Vs Predicted Values'!$B$2</c:f>
              <c:strCache>
                <c:ptCount val="1"/>
                <c:pt idx="0">
                  <c:v>Actual value</c:v>
                </c:pt>
              </c:strCache>
            </c:strRef>
          </c:tx>
          <c:cat>
            <c:strRef>
              <c:f>'Actual Vs Predicted Values'!$A$3:$A$15</c:f>
              <c:strCache>
                <c:ptCount val="13"/>
                <c:pt idx="0">
                  <c:v>Barkin saleh</c:v>
                </c:pt>
                <c:pt idx="1">
                  <c:v>Maikunkele</c:v>
                </c:pt>
                <c:pt idx="2">
                  <c:v>Chanchaga</c:v>
                </c:pt>
                <c:pt idx="3">
                  <c:v>Kpakungu</c:v>
                </c:pt>
                <c:pt idx="4">
                  <c:v>Maitumbi</c:v>
                </c:pt>
                <c:pt idx="5">
                  <c:v>Gbaganu</c:v>
                </c:pt>
                <c:pt idx="6">
                  <c:v>Nyikangbe</c:v>
                </c:pt>
                <c:pt idx="7">
                  <c:v>Shango</c:v>
                </c:pt>
                <c:pt idx="8">
                  <c:v>Sauka kahuta</c:v>
                </c:pt>
                <c:pt idx="9">
                  <c:v>Tayi village</c:v>
                </c:pt>
                <c:pt idx="10">
                  <c:v>Tudun fulani</c:v>
                </c:pt>
                <c:pt idx="11">
                  <c:v>Fadikpe</c:v>
                </c:pt>
                <c:pt idx="12">
                  <c:v>Gidan mangoro</c:v>
                </c:pt>
              </c:strCache>
            </c:strRef>
          </c:cat>
          <c:val>
            <c:numRef>
              <c:f>'Actual Vs Predicted Values'!$B$3:$B$15</c:f>
              <c:numCache>
                <c:formatCode>###0.00</c:formatCode>
                <c:ptCount val="13"/>
                <c:pt idx="0">
                  <c:v>26176.470588235301</c:v>
                </c:pt>
                <c:pt idx="1">
                  <c:v>30000</c:v>
                </c:pt>
                <c:pt idx="2">
                  <c:v>36457.142857142855</c:v>
                </c:pt>
                <c:pt idx="3">
                  <c:v>25203.389830508473</c:v>
                </c:pt>
                <c:pt idx="4">
                  <c:v>33953.488372093023</c:v>
                </c:pt>
                <c:pt idx="5">
                  <c:v>28750</c:v>
                </c:pt>
                <c:pt idx="6">
                  <c:v>25857.142857142859</c:v>
                </c:pt>
                <c:pt idx="7">
                  <c:v>45972.222222222219</c:v>
                </c:pt>
                <c:pt idx="8">
                  <c:v>32818.181818181816</c:v>
                </c:pt>
                <c:pt idx="9">
                  <c:v>61250</c:v>
                </c:pt>
                <c:pt idx="10">
                  <c:v>33305.08474576271</c:v>
                </c:pt>
                <c:pt idx="11">
                  <c:v>36891.891891891893</c:v>
                </c:pt>
                <c:pt idx="12">
                  <c:v>45468.75</c:v>
                </c:pt>
              </c:numCache>
            </c:numRef>
          </c:val>
          <c:smooth val="0"/>
        </c:ser>
        <c:ser>
          <c:idx val="1"/>
          <c:order val="1"/>
          <c:tx>
            <c:strRef>
              <c:f>'Actual Vs Predicted Values'!$C$2</c:f>
              <c:strCache>
                <c:ptCount val="1"/>
                <c:pt idx="0">
                  <c:v>Predicted value</c:v>
                </c:pt>
              </c:strCache>
            </c:strRef>
          </c:tx>
          <c:cat>
            <c:strRef>
              <c:f>'Actual Vs Predicted Values'!$A$3:$A$15</c:f>
              <c:strCache>
                <c:ptCount val="13"/>
                <c:pt idx="0">
                  <c:v>Barkin saleh</c:v>
                </c:pt>
                <c:pt idx="1">
                  <c:v>Maikunkele</c:v>
                </c:pt>
                <c:pt idx="2">
                  <c:v>Chanchaga</c:v>
                </c:pt>
                <c:pt idx="3">
                  <c:v>Kpakungu</c:v>
                </c:pt>
                <c:pt idx="4">
                  <c:v>Maitumbi</c:v>
                </c:pt>
                <c:pt idx="5">
                  <c:v>Gbaganu</c:v>
                </c:pt>
                <c:pt idx="6">
                  <c:v>Nyikangbe</c:v>
                </c:pt>
                <c:pt idx="7">
                  <c:v>Shango</c:v>
                </c:pt>
                <c:pt idx="8">
                  <c:v>Sauka kahuta</c:v>
                </c:pt>
                <c:pt idx="9">
                  <c:v>Tayi village</c:v>
                </c:pt>
                <c:pt idx="10">
                  <c:v>Tudun fulani</c:v>
                </c:pt>
                <c:pt idx="11">
                  <c:v>Fadikpe</c:v>
                </c:pt>
                <c:pt idx="12">
                  <c:v>Gidan mangoro</c:v>
                </c:pt>
              </c:strCache>
            </c:strRef>
          </c:cat>
          <c:val>
            <c:numRef>
              <c:f>'Actual Vs Predicted Values'!$C$3:$C$15</c:f>
              <c:numCache>
                <c:formatCode>0</c:formatCode>
                <c:ptCount val="13"/>
                <c:pt idx="0">
                  <c:v>28000</c:v>
                </c:pt>
                <c:pt idx="1">
                  <c:v>34000</c:v>
                </c:pt>
                <c:pt idx="2">
                  <c:v>37800.209179999998</c:v>
                </c:pt>
                <c:pt idx="3">
                  <c:v>27638.071329999999</c:v>
                </c:pt>
                <c:pt idx="4">
                  <c:v>38466.668899999997</c:v>
                </c:pt>
                <c:pt idx="5">
                  <c:v>27887.885450000002</c:v>
                </c:pt>
                <c:pt idx="6">
                  <c:v>25443.652279999998</c:v>
                </c:pt>
                <c:pt idx="7">
                  <c:v>48826.616260000003</c:v>
                </c:pt>
                <c:pt idx="8">
                  <c:v>33435.304429999997</c:v>
                </c:pt>
                <c:pt idx="9">
                  <c:v>63072.499649999998</c:v>
                </c:pt>
                <c:pt idx="10">
                  <c:v>36955.750650000002</c:v>
                </c:pt>
                <c:pt idx="11">
                  <c:v>38519.091180000003</c:v>
                </c:pt>
                <c:pt idx="12">
                  <c:v>47608.266629999998</c:v>
                </c:pt>
              </c:numCache>
            </c:numRef>
          </c:val>
          <c:smooth val="0"/>
        </c:ser>
        <c:dLbls>
          <c:showLegendKey val="0"/>
          <c:showVal val="0"/>
          <c:showCatName val="0"/>
          <c:showSerName val="0"/>
          <c:showPercent val="0"/>
          <c:showBubbleSize val="0"/>
        </c:dLbls>
        <c:marker val="1"/>
        <c:smooth val="0"/>
        <c:axId val="107474304"/>
        <c:axId val="131818624"/>
      </c:lineChart>
      <c:catAx>
        <c:axId val="107474304"/>
        <c:scaling>
          <c:orientation val="minMax"/>
        </c:scaling>
        <c:delete val="0"/>
        <c:axPos val="b"/>
        <c:majorTickMark val="out"/>
        <c:minorTickMark val="none"/>
        <c:tickLblPos val="nextTo"/>
        <c:crossAx val="131818624"/>
        <c:crosses val="autoZero"/>
        <c:auto val="1"/>
        <c:lblAlgn val="ctr"/>
        <c:lblOffset val="100"/>
        <c:noMultiLvlLbl val="0"/>
      </c:catAx>
      <c:valAx>
        <c:axId val="131818624"/>
        <c:scaling>
          <c:orientation val="minMax"/>
        </c:scaling>
        <c:delete val="0"/>
        <c:axPos val="l"/>
        <c:majorGridlines/>
        <c:numFmt formatCode="###0.00" sourceLinked="1"/>
        <c:majorTickMark val="out"/>
        <c:minorTickMark val="none"/>
        <c:tickLblPos val="nextTo"/>
        <c:crossAx val="10747430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'Actual Vs Predicted values'!$B$1</c:f>
              <c:strCache>
                <c:ptCount val="1"/>
                <c:pt idx="0">
                  <c:v>Actual value</c:v>
                </c:pt>
              </c:strCache>
            </c:strRef>
          </c:tx>
          <c:cat>
            <c:strRef>
              <c:f>'Actual Vs Predicted values'!$A$2:$A$14</c:f>
              <c:strCache>
                <c:ptCount val="13"/>
                <c:pt idx="0">
                  <c:v>Barkin saleh</c:v>
                </c:pt>
                <c:pt idx="1">
                  <c:v>Maikunkele</c:v>
                </c:pt>
                <c:pt idx="2">
                  <c:v>Chanchaga</c:v>
                </c:pt>
                <c:pt idx="3">
                  <c:v>Kpakungu</c:v>
                </c:pt>
                <c:pt idx="4">
                  <c:v>Maitumbi</c:v>
                </c:pt>
                <c:pt idx="5">
                  <c:v>Gbaganu</c:v>
                </c:pt>
                <c:pt idx="6">
                  <c:v>Nyikangbe</c:v>
                </c:pt>
                <c:pt idx="7">
                  <c:v>Shango</c:v>
                </c:pt>
                <c:pt idx="8">
                  <c:v>Sauka kahuta</c:v>
                </c:pt>
                <c:pt idx="9">
                  <c:v>Tayi village</c:v>
                </c:pt>
                <c:pt idx="10">
                  <c:v>Tudun fulani</c:v>
                </c:pt>
                <c:pt idx="11">
                  <c:v>Fadikpe</c:v>
                </c:pt>
                <c:pt idx="12">
                  <c:v>Gidan mangoro</c:v>
                </c:pt>
              </c:strCache>
            </c:strRef>
          </c:cat>
          <c:val>
            <c:numRef>
              <c:f>'Actual Vs Predicted values'!$B$2:$B$14</c:f>
              <c:numCache>
                <c:formatCode>###0.00</c:formatCode>
                <c:ptCount val="13"/>
                <c:pt idx="0">
                  <c:v>59166.666666666664</c:v>
                </c:pt>
                <c:pt idx="1">
                  <c:v>63382.352941176468</c:v>
                </c:pt>
                <c:pt idx="2">
                  <c:v>69531.25</c:v>
                </c:pt>
                <c:pt idx="3">
                  <c:v>53333.333333333336</c:v>
                </c:pt>
                <c:pt idx="4">
                  <c:v>44117.647058823532</c:v>
                </c:pt>
                <c:pt idx="5">
                  <c:v>71666.666666666672</c:v>
                </c:pt>
                <c:pt idx="6">
                  <c:v>74871.794871794875</c:v>
                </c:pt>
                <c:pt idx="7">
                  <c:v>79545.454545454544</c:v>
                </c:pt>
                <c:pt idx="8">
                  <c:v>88235.294117647063</c:v>
                </c:pt>
                <c:pt idx="9">
                  <c:v>90000</c:v>
                </c:pt>
                <c:pt idx="10">
                  <c:v>77500</c:v>
                </c:pt>
                <c:pt idx="11">
                  <c:v>102500</c:v>
                </c:pt>
                <c:pt idx="12">
                  <c:v>57727.272727272728</c:v>
                </c:pt>
              </c:numCache>
            </c:numRef>
          </c:val>
          <c:smooth val="0"/>
        </c:ser>
        <c:ser>
          <c:idx val="1"/>
          <c:order val="1"/>
          <c:tx>
            <c:strRef>
              <c:f>'Actual Vs Predicted values'!$C$1</c:f>
              <c:strCache>
                <c:ptCount val="1"/>
                <c:pt idx="0">
                  <c:v>Predicted value</c:v>
                </c:pt>
              </c:strCache>
            </c:strRef>
          </c:tx>
          <c:cat>
            <c:strRef>
              <c:f>'Actual Vs Predicted values'!$A$2:$A$14</c:f>
              <c:strCache>
                <c:ptCount val="13"/>
                <c:pt idx="0">
                  <c:v>Barkin saleh</c:v>
                </c:pt>
                <c:pt idx="1">
                  <c:v>Maikunkele</c:v>
                </c:pt>
                <c:pt idx="2">
                  <c:v>Chanchaga</c:v>
                </c:pt>
                <c:pt idx="3">
                  <c:v>Kpakungu</c:v>
                </c:pt>
                <c:pt idx="4">
                  <c:v>Maitumbi</c:v>
                </c:pt>
                <c:pt idx="5">
                  <c:v>Gbaganu</c:v>
                </c:pt>
                <c:pt idx="6">
                  <c:v>Nyikangbe</c:v>
                </c:pt>
                <c:pt idx="7">
                  <c:v>Shango</c:v>
                </c:pt>
                <c:pt idx="8">
                  <c:v>Sauka kahuta</c:v>
                </c:pt>
                <c:pt idx="9">
                  <c:v>Tayi village</c:v>
                </c:pt>
                <c:pt idx="10">
                  <c:v>Tudun fulani</c:v>
                </c:pt>
                <c:pt idx="11">
                  <c:v>Fadikpe</c:v>
                </c:pt>
                <c:pt idx="12">
                  <c:v>Gidan mangoro</c:v>
                </c:pt>
              </c:strCache>
            </c:strRef>
          </c:cat>
          <c:val>
            <c:numRef>
              <c:f>'Actual Vs Predicted values'!$C$2:$C$14</c:f>
              <c:numCache>
                <c:formatCode>0</c:formatCode>
                <c:ptCount val="13"/>
                <c:pt idx="0">
                  <c:v>63775.995430000003</c:v>
                </c:pt>
                <c:pt idx="1">
                  <c:v>66933.206009999994</c:v>
                </c:pt>
                <c:pt idx="2">
                  <c:v>73598.119089999993</c:v>
                </c:pt>
                <c:pt idx="3">
                  <c:v>47160.431429999997</c:v>
                </c:pt>
                <c:pt idx="4">
                  <c:v>47286.950720000001</c:v>
                </c:pt>
                <c:pt idx="5">
                  <c:v>77129.104170000006</c:v>
                </c:pt>
                <c:pt idx="6">
                  <c:v>68835.940910000005</c:v>
                </c:pt>
                <c:pt idx="7">
                  <c:v>81614.625769999999</c:v>
                </c:pt>
                <c:pt idx="8">
                  <c:v>84185.376139999993</c:v>
                </c:pt>
                <c:pt idx="9">
                  <c:v>96939.926059999998</c:v>
                </c:pt>
                <c:pt idx="10">
                  <c:v>75468.464179999995</c:v>
                </c:pt>
                <c:pt idx="11">
                  <c:v>114368.50425</c:v>
                </c:pt>
                <c:pt idx="12">
                  <c:v>50748.741589999998</c:v>
                </c:pt>
              </c:numCache>
            </c:numRef>
          </c:val>
          <c:smooth val="0"/>
        </c:ser>
        <c:dLbls>
          <c:showLegendKey val="0"/>
          <c:showVal val="0"/>
          <c:showCatName val="0"/>
          <c:showSerName val="0"/>
          <c:showPercent val="0"/>
          <c:showBubbleSize val="0"/>
        </c:dLbls>
        <c:marker val="1"/>
        <c:smooth val="0"/>
        <c:axId val="164181504"/>
        <c:axId val="164183040"/>
      </c:lineChart>
      <c:catAx>
        <c:axId val="164181504"/>
        <c:scaling>
          <c:orientation val="minMax"/>
        </c:scaling>
        <c:delete val="0"/>
        <c:axPos val="b"/>
        <c:majorTickMark val="out"/>
        <c:minorTickMark val="none"/>
        <c:tickLblPos val="nextTo"/>
        <c:crossAx val="164183040"/>
        <c:crosses val="autoZero"/>
        <c:auto val="1"/>
        <c:lblAlgn val="ctr"/>
        <c:lblOffset val="100"/>
        <c:noMultiLvlLbl val="0"/>
      </c:catAx>
      <c:valAx>
        <c:axId val="164183040"/>
        <c:scaling>
          <c:orientation val="minMax"/>
        </c:scaling>
        <c:delete val="0"/>
        <c:axPos val="l"/>
        <c:majorGridlines/>
        <c:numFmt formatCode="###0.00" sourceLinked="1"/>
        <c:majorTickMark val="out"/>
        <c:minorTickMark val="none"/>
        <c:tickLblPos val="nextTo"/>
        <c:crossAx val="1641815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181</TotalTime>
  <Pages>13</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Rukaiyat</dc:creator>
  <cp:keywords/>
  <dc:description/>
  <cp:lastModifiedBy>Rukaiyat</cp:lastModifiedBy>
  <cp:revision>20</cp:revision>
  <dcterms:created xsi:type="dcterms:W3CDTF">2022-08-25T06:26:00Z</dcterms:created>
  <dcterms:modified xsi:type="dcterms:W3CDTF">2023-01-05T01:31:00Z</dcterms:modified>
</cp:coreProperties>
</file>